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3A478" w14:textId="0FDE1976" w:rsidR="004657D7" w:rsidRDefault="00C766BF" w:rsidP="004657D7">
      <w:pPr>
        <w:ind w:left="720" w:hanging="36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MAGNETY</w:t>
      </w:r>
    </w:p>
    <w:p w14:paraId="5DD22796" w14:textId="77777777" w:rsidR="004F195D" w:rsidRDefault="004F195D" w:rsidP="004F195D">
      <w:pPr>
        <w:jc w:val="center"/>
      </w:pPr>
      <w:r>
        <w:t>Mgr. Iva Frýzová, Ph.D.</w:t>
      </w:r>
    </w:p>
    <w:p w14:paraId="624597C2" w14:textId="77777777" w:rsidR="004F195D" w:rsidRPr="002162D9" w:rsidRDefault="004F195D" w:rsidP="004F195D">
      <w:pPr>
        <w:rPr>
          <w:b/>
          <w:bCs/>
          <w:sz w:val="24"/>
          <w:szCs w:val="24"/>
        </w:rPr>
      </w:pPr>
      <w:r w:rsidRPr="002162D9">
        <w:rPr>
          <w:b/>
          <w:bCs/>
          <w:sz w:val="24"/>
          <w:szCs w:val="24"/>
        </w:rPr>
        <w:t>Zaměření úlohy:</w:t>
      </w:r>
    </w:p>
    <w:p w14:paraId="22DBC765" w14:textId="7006897F" w:rsidR="004F195D" w:rsidRDefault="007640E2" w:rsidP="004F195D">
      <w:pPr>
        <w:rPr>
          <w:sz w:val="24"/>
          <w:szCs w:val="24"/>
        </w:rPr>
      </w:pPr>
      <w:r>
        <w:rPr>
          <w:sz w:val="24"/>
          <w:szCs w:val="24"/>
        </w:rPr>
        <w:t xml:space="preserve">Žák na základě experimentu zjišťuje, </w:t>
      </w:r>
      <w:r w:rsidR="00D91F9F">
        <w:rPr>
          <w:sz w:val="24"/>
          <w:szCs w:val="24"/>
        </w:rPr>
        <w:t xml:space="preserve">že </w:t>
      </w:r>
      <w:r w:rsidR="00013A62">
        <w:rPr>
          <w:sz w:val="24"/>
          <w:szCs w:val="24"/>
        </w:rPr>
        <w:t>vlastnosti předmětu jsou vázány na látku, ze které jsou vyrobeny, nikoli na daný předmět.</w:t>
      </w:r>
    </w:p>
    <w:p w14:paraId="647D1FF7" w14:textId="77777777" w:rsidR="004F195D" w:rsidRPr="002162D9" w:rsidRDefault="004F195D" w:rsidP="004F195D">
      <w:pPr>
        <w:rPr>
          <w:b/>
          <w:bCs/>
          <w:sz w:val="24"/>
          <w:szCs w:val="24"/>
        </w:rPr>
      </w:pPr>
      <w:r w:rsidRPr="002162D9">
        <w:rPr>
          <w:b/>
          <w:bCs/>
          <w:sz w:val="24"/>
          <w:szCs w:val="24"/>
        </w:rPr>
        <w:t>Pomůcky:</w:t>
      </w:r>
    </w:p>
    <w:p w14:paraId="2F40425D" w14:textId="670567D6" w:rsidR="004F195D" w:rsidRDefault="00B134D8" w:rsidP="004F195D">
      <w:pPr>
        <w:rPr>
          <w:sz w:val="24"/>
          <w:szCs w:val="24"/>
        </w:rPr>
      </w:pPr>
      <w:r>
        <w:rPr>
          <w:sz w:val="24"/>
          <w:szCs w:val="24"/>
        </w:rPr>
        <w:t xml:space="preserve">Magnety, dřevěná vařečka, </w:t>
      </w:r>
      <w:r w:rsidR="009D4C89">
        <w:rPr>
          <w:sz w:val="24"/>
          <w:szCs w:val="24"/>
        </w:rPr>
        <w:t xml:space="preserve">železná podkova, dřevěná vařečka, </w:t>
      </w:r>
      <w:r w:rsidR="00C81E50">
        <w:rPr>
          <w:sz w:val="24"/>
          <w:szCs w:val="24"/>
        </w:rPr>
        <w:t xml:space="preserve">plastová fixa, skleněná lahvička, hliníková lžička, </w:t>
      </w:r>
      <w:r w:rsidR="00571BCF">
        <w:rPr>
          <w:sz w:val="24"/>
          <w:szCs w:val="24"/>
        </w:rPr>
        <w:t xml:space="preserve">papírová sešit, </w:t>
      </w:r>
      <w:r w:rsidR="009B4305">
        <w:rPr>
          <w:sz w:val="24"/>
          <w:szCs w:val="24"/>
        </w:rPr>
        <w:t>vosková vosko</w:t>
      </w:r>
      <w:r w:rsidR="00A77172">
        <w:rPr>
          <w:sz w:val="24"/>
          <w:szCs w:val="24"/>
        </w:rPr>
        <w:t>vka</w:t>
      </w:r>
    </w:p>
    <w:p w14:paraId="4F3EB862" w14:textId="77777777" w:rsidR="004F195D" w:rsidRDefault="004F195D" w:rsidP="004F195D">
      <w:pPr>
        <w:rPr>
          <w:b/>
          <w:bCs/>
          <w:sz w:val="24"/>
          <w:szCs w:val="24"/>
        </w:rPr>
      </w:pPr>
      <w:r w:rsidRPr="002162D9">
        <w:rPr>
          <w:b/>
          <w:bCs/>
          <w:sz w:val="24"/>
          <w:szCs w:val="24"/>
        </w:rPr>
        <w:t>Postup:</w:t>
      </w:r>
    </w:p>
    <w:p w14:paraId="47621CD1" w14:textId="7899A9EF" w:rsidR="00A77172" w:rsidRDefault="0031102E" w:rsidP="0031102E">
      <w:pPr>
        <w:pStyle w:val="Odstavecseseznamem"/>
        <w:numPr>
          <w:ilvl w:val="0"/>
          <w:numId w:val="1"/>
        </w:numPr>
      </w:pPr>
      <w:r>
        <w:t xml:space="preserve">Žáci si ve skupinách prohlédnou sadu předmětů a </w:t>
      </w:r>
      <w:r w:rsidR="009D62B6">
        <w:t>pojmenují jak předměty, tak materiál, ze kterého jsou vyrobeny.</w:t>
      </w:r>
    </w:p>
    <w:p w14:paraId="1D180D01" w14:textId="5D7B3594" w:rsidR="00D7395B" w:rsidRDefault="00D7395B" w:rsidP="0031102E">
      <w:pPr>
        <w:pStyle w:val="Odstavecseseznamem"/>
        <w:numPr>
          <w:ilvl w:val="0"/>
          <w:numId w:val="1"/>
        </w:numPr>
      </w:pPr>
      <w:r>
        <w:t>Učitel ukáže žákům magnet a zeptá se, kter</w:t>
      </w:r>
      <w:r w:rsidR="00467E2E">
        <w:t>ý</w:t>
      </w:r>
      <w:r>
        <w:t xml:space="preserve"> z předmětů by </w:t>
      </w:r>
      <w:r w:rsidR="004D332E">
        <w:t>si mohl přitáhnout magnetem.</w:t>
      </w:r>
    </w:p>
    <w:p w14:paraId="34EB7234" w14:textId="45D5B5E3" w:rsidR="00467E2E" w:rsidRDefault="004D332E" w:rsidP="0031102E">
      <w:pPr>
        <w:pStyle w:val="Odstavecseseznamem"/>
        <w:numPr>
          <w:ilvl w:val="0"/>
          <w:numId w:val="1"/>
        </w:numPr>
      </w:pPr>
      <w:r>
        <w:t xml:space="preserve">Poté žákům rozdá magnety a ti ověřují, které z předmětů na stole </w:t>
      </w:r>
      <w:r w:rsidR="00067401">
        <w:t xml:space="preserve">magnet přitahuje – </w:t>
      </w:r>
      <w:r w:rsidR="009D62B6">
        <w:t xml:space="preserve">třídí předměty na </w:t>
      </w:r>
      <w:r w:rsidR="00467E2E">
        <w:t>kartu, kde je uvedeno</w:t>
      </w:r>
      <w:r w:rsidR="00013A62">
        <w:t>,</w:t>
      </w:r>
      <w:r w:rsidR="00467E2E">
        <w:t xml:space="preserve"> zda magnet působí přitažlivě či nepůsobí magnetickou silou (viz fotografie).</w:t>
      </w:r>
    </w:p>
    <w:p w14:paraId="085E117F" w14:textId="269B7530" w:rsidR="004D332E" w:rsidRDefault="002A2A1D" w:rsidP="0031102E">
      <w:pPr>
        <w:pStyle w:val="Odstavecseseznamem"/>
        <w:numPr>
          <w:ilvl w:val="0"/>
          <w:numId w:val="1"/>
        </w:numPr>
      </w:pPr>
      <w:r>
        <w:t xml:space="preserve"> Společně s učitelem zkontrolují svá řešení.</w:t>
      </w:r>
    </w:p>
    <w:p w14:paraId="6B03666B" w14:textId="144BC5BF" w:rsidR="00067401" w:rsidRDefault="001816CC" w:rsidP="0031102E">
      <w:pPr>
        <w:pStyle w:val="Odstavecseseznamem"/>
        <w:numPr>
          <w:ilvl w:val="0"/>
          <w:numId w:val="1"/>
        </w:numPr>
      </w:pPr>
      <w:r>
        <w:t>Následně učitelů vyzve žáky, aby se prošli po třídě a zjistili, které další předměty magnet přitahuje a na které nepůsobí.</w:t>
      </w:r>
    </w:p>
    <w:p w14:paraId="3F34ABFE" w14:textId="3A304E60" w:rsidR="00BA2A80" w:rsidRDefault="00D46407" w:rsidP="0031102E">
      <w:pPr>
        <w:pStyle w:val="Odstavecseseznamem"/>
        <w:numPr>
          <w:ilvl w:val="0"/>
          <w:numId w:val="1"/>
        </w:numPr>
      </w:pPr>
      <w:r>
        <w:t xml:space="preserve">Nyní učitel vyzve žáky, aby si sesedli do kroužku </w:t>
      </w:r>
      <w:r w:rsidR="00C31119">
        <w:t xml:space="preserve">společně diskutují, které z předmětů ve třídě magnet přitahoval a které nikoli. </w:t>
      </w:r>
      <w:r w:rsidR="00467E2E">
        <w:t>Mohou doplňovat i o zkušenosti z domova.</w:t>
      </w:r>
    </w:p>
    <w:p w14:paraId="78D7E999" w14:textId="141AC407" w:rsidR="001816CC" w:rsidRDefault="00BA2A80" w:rsidP="0031102E">
      <w:pPr>
        <w:pStyle w:val="Odstavecseseznamem"/>
        <w:numPr>
          <w:ilvl w:val="0"/>
          <w:numId w:val="1"/>
        </w:numPr>
      </w:pPr>
      <w:r>
        <w:t xml:space="preserve">Učitel </w:t>
      </w:r>
      <w:r w:rsidR="00C31119">
        <w:t>položí žákům otázk</w:t>
      </w:r>
      <w:r w:rsidR="001E169D">
        <w:t xml:space="preserve">u: </w:t>
      </w:r>
      <w:r w:rsidR="00467E2E">
        <w:t>„</w:t>
      </w:r>
      <w:r w:rsidR="001E169D">
        <w:t>Je důvodem působení magnetu samotný předmět nebo látka, ze které je předmět vyroben?</w:t>
      </w:r>
      <w:r w:rsidR="00467E2E">
        <w:t>“</w:t>
      </w:r>
      <w:r>
        <w:t xml:space="preserve"> (Žáci by měli vyvodit, že magnetismus je vlastností materiálu, nikoli předmětu).</w:t>
      </w:r>
    </w:p>
    <w:p w14:paraId="2CB07FF2" w14:textId="77777777" w:rsidR="00124164" w:rsidRDefault="003976F2" w:rsidP="0031102E">
      <w:pPr>
        <w:pStyle w:val="Odstavecseseznamem"/>
        <w:numPr>
          <w:ilvl w:val="0"/>
          <w:numId w:val="1"/>
        </w:numPr>
      </w:pPr>
      <w:r>
        <w:t>Učitel žákům vysvětlí, že magne</w:t>
      </w:r>
      <w:r w:rsidR="00F27291">
        <w:t xml:space="preserve">ty se přitahují k předmětům vyrobeným </w:t>
      </w:r>
      <w:r w:rsidR="007E02B8">
        <w:t xml:space="preserve">z některých kovů, nejčastěji ze železa. </w:t>
      </w:r>
    </w:p>
    <w:p w14:paraId="34A76A3E" w14:textId="0F874F46" w:rsidR="00B96A93" w:rsidRDefault="00B96A93" w:rsidP="0031102E">
      <w:pPr>
        <w:pStyle w:val="Odstavecseseznamem"/>
        <w:numPr>
          <w:ilvl w:val="0"/>
          <w:numId w:val="1"/>
        </w:numPr>
      </w:pPr>
      <w:r>
        <w:t>Učitel ukazuje žákům předměty z pokusu a další předměty ve třídě. Žáci doplňují, proč je n</w:t>
      </w:r>
      <w:r w:rsidR="00B67DB9">
        <w:t xml:space="preserve">ě magnet působí (přitažlivou silou) nebo nepůsobí. Např. </w:t>
      </w:r>
      <w:r w:rsidR="00467E2E">
        <w:t>„</w:t>
      </w:r>
      <w:r w:rsidR="00B67DB9">
        <w:t xml:space="preserve">Magnet </w:t>
      </w:r>
      <w:r w:rsidR="00EB4C4C">
        <w:t>vařečku nepřitahuje, protože je ze dřeva. Magnet nohu od lavice přitahuje, protože je ze železa.</w:t>
      </w:r>
      <w:r w:rsidR="00467E2E">
        <w:t>“</w:t>
      </w:r>
    </w:p>
    <w:p w14:paraId="187E64B0" w14:textId="16234926" w:rsidR="00067401" w:rsidRDefault="00013A62" w:rsidP="00013A62">
      <w:pPr>
        <w:jc w:val="center"/>
      </w:pPr>
      <w:r>
        <w:rPr>
          <w:noProof/>
          <w14:ligatures w14:val="standardContextual"/>
        </w:rPr>
        <w:drawing>
          <wp:inline distT="0" distB="0" distL="0" distR="0" wp14:anchorId="62B9FA9D" wp14:editId="139C1664">
            <wp:extent cx="4653996" cy="2992095"/>
            <wp:effectExtent l="0" t="0" r="0" b="0"/>
            <wp:docPr id="1200664817" name="Obrázek 3" descr="Obsah obrázku nářadí, Kuchyňské nádobí, nádobí, interiér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664817" name="Obrázek 3" descr="Obsah obrázku nářadí, Kuchyňské nádobí, nádobí, interiér&#10;&#10;Popis byl vytvořen automaticky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277"/>
                    <a:stretch/>
                  </pic:blipFill>
                  <pic:spPr bwMode="auto">
                    <a:xfrm>
                      <a:off x="0" y="0"/>
                      <a:ext cx="4662430" cy="29975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C99262" w14:textId="77777777" w:rsidR="00465308" w:rsidRPr="007157EC" w:rsidRDefault="00465308" w:rsidP="00465308">
      <w:pPr>
        <w:ind w:left="360"/>
        <w:jc w:val="center"/>
        <w:rPr>
          <w:i/>
          <w:iCs/>
        </w:rPr>
      </w:pPr>
      <w:r w:rsidRPr="007157EC">
        <w:rPr>
          <w:i/>
          <w:iCs/>
        </w:rPr>
        <w:t>Ilustrační foto autor</w:t>
      </w:r>
      <w:r>
        <w:rPr>
          <w:i/>
          <w:iCs/>
        </w:rPr>
        <w:t>ka úlohy</w:t>
      </w:r>
    </w:p>
    <w:p w14:paraId="6DAF7933" w14:textId="77777777" w:rsidR="00465308" w:rsidRDefault="00465308" w:rsidP="00013A62">
      <w:pPr>
        <w:jc w:val="center"/>
      </w:pPr>
    </w:p>
    <w:p w14:paraId="4B1388EE" w14:textId="77777777" w:rsidR="004D332E" w:rsidRDefault="004D332E" w:rsidP="004D332E"/>
    <w:sectPr w:rsidR="004D332E" w:rsidSect="00B248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8B35E3"/>
    <w:multiLevelType w:val="hybridMultilevel"/>
    <w:tmpl w:val="068CA0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0898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7D7"/>
    <w:rsid w:val="00013A62"/>
    <w:rsid w:val="00067401"/>
    <w:rsid w:val="00124164"/>
    <w:rsid w:val="001816CC"/>
    <w:rsid w:val="001B552E"/>
    <w:rsid w:val="001C0AC7"/>
    <w:rsid w:val="001E169D"/>
    <w:rsid w:val="00296C8C"/>
    <w:rsid w:val="002A2A1D"/>
    <w:rsid w:val="0031102E"/>
    <w:rsid w:val="003976F2"/>
    <w:rsid w:val="003A3597"/>
    <w:rsid w:val="003A5BBD"/>
    <w:rsid w:val="00465308"/>
    <w:rsid w:val="004657D7"/>
    <w:rsid w:val="00467E2E"/>
    <w:rsid w:val="004D332E"/>
    <w:rsid w:val="004F195D"/>
    <w:rsid w:val="00571BCF"/>
    <w:rsid w:val="007640E2"/>
    <w:rsid w:val="007E02B8"/>
    <w:rsid w:val="008C3EF9"/>
    <w:rsid w:val="009B4305"/>
    <w:rsid w:val="009C4C4C"/>
    <w:rsid w:val="009D4C89"/>
    <w:rsid w:val="009D62B6"/>
    <w:rsid w:val="00A77172"/>
    <w:rsid w:val="00B04F7F"/>
    <w:rsid w:val="00B134D8"/>
    <w:rsid w:val="00B248A0"/>
    <w:rsid w:val="00B67DB9"/>
    <w:rsid w:val="00B96A93"/>
    <w:rsid w:val="00BA2A80"/>
    <w:rsid w:val="00C31119"/>
    <w:rsid w:val="00C766BF"/>
    <w:rsid w:val="00C81E50"/>
    <w:rsid w:val="00CA546D"/>
    <w:rsid w:val="00D3422B"/>
    <w:rsid w:val="00D46407"/>
    <w:rsid w:val="00D7395B"/>
    <w:rsid w:val="00D91F9F"/>
    <w:rsid w:val="00EB4C4C"/>
    <w:rsid w:val="00F27291"/>
    <w:rsid w:val="00FE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E91E1B"/>
  <w15:chartTrackingRefBased/>
  <w15:docId w15:val="{8C2EDC8E-C94B-442B-92FA-9C7C869F6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57D7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657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657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657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657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657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657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657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657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657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657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657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657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657D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657D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657D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657D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657D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657D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657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657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657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657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657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657D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657D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657D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657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657D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657D7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4657D7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242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Frýzová</dc:creator>
  <cp:keywords/>
  <dc:description/>
  <cp:lastModifiedBy>Havlínová Hana</cp:lastModifiedBy>
  <cp:revision>40</cp:revision>
  <dcterms:created xsi:type="dcterms:W3CDTF">2024-11-29T21:30:00Z</dcterms:created>
  <dcterms:modified xsi:type="dcterms:W3CDTF">2025-01-09T10:30:00Z</dcterms:modified>
</cp:coreProperties>
</file>