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F44C2" w14:textId="22D1917C" w:rsidR="008C697A" w:rsidRDefault="00F85E01" w:rsidP="496DAF73">
      <w:pPr>
        <w:rPr>
          <w:b/>
          <w:bCs/>
          <w:sz w:val="30"/>
          <w:szCs w:val="30"/>
        </w:rPr>
      </w:pPr>
      <w:r w:rsidRPr="13390AA2">
        <w:rPr>
          <w:b/>
          <w:bCs/>
          <w:sz w:val="30"/>
          <w:szCs w:val="30"/>
        </w:rPr>
        <w:t xml:space="preserve">23 </w:t>
      </w:r>
      <w:r w:rsidR="0B3EA72F" w:rsidRPr="13390AA2">
        <w:rPr>
          <w:b/>
          <w:bCs/>
          <w:sz w:val="30"/>
          <w:szCs w:val="30"/>
        </w:rPr>
        <w:t>–</w:t>
      </w:r>
      <w:r w:rsidRPr="13390AA2">
        <w:rPr>
          <w:b/>
          <w:bCs/>
          <w:sz w:val="30"/>
          <w:szCs w:val="30"/>
        </w:rPr>
        <w:t xml:space="preserve"> Rozpad koloniálních impérií</w:t>
      </w:r>
    </w:p>
    <w:p w14:paraId="227DCBB4" w14:textId="77777777" w:rsidR="008C697A" w:rsidRDefault="008C697A"/>
    <w:p w14:paraId="4EFC6A5E" w14:textId="2CA1A6F5" w:rsidR="008C697A" w:rsidRDefault="00F85E01" w:rsidP="496DAF73">
      <w:pPr>
        <w:rPr>
          <w:b/>
          <w:bCs/>
        </w:rPr>
      </w:pPr>
      <w:r w:rsidRPr="13390AA2">
        <w:rPr>
          <w:b/>
          <w:bCs/>
        </w:rPr>
        <w:t>23.1 Jednoduché úkoly vázané na znalost faktografie</w:t>
      </w:r>
    </w:p>
    <w:p w14:paraId="448977E8" w14:textId="77777777" w:rsidR="008C697A" w:rsidRDefault="008C697A"/>
    <w:p w14:paraId="68C9DE5D" w14:textId="176ADCF6" w:rsidR="008C697A" w:rsidRDefault="00F85E01">
      <w:r>
        <w:t>23.1.1 Rokem Afriky nazýváme rok (doplň) _______, protože (vyber správnou odpověď)</w:t>
      </w:r>
    </w:p>
    <w:p w14:paraId="236482E2" w14:textId="498D1FA9" w:rsidR="008C697A" w:rsidRDefault="00F85E01">
      <w:pPr>
        <w:numPr>
          <w:ilvl w:val="0"/>
          <w:numId w:val="7"/>
        </w:numPr>
      </w:pPr>
      <w:r>
        <w:t xml:space="preserve">odešli s koncem </w:t>
      </w:r>
      <w:r w:rsidR="627581AC">
        <w:t>druhé</w:t>
      </w:r>
      <w:r>
        <w:t xml:space="preserve"> světov</w:t>
      </w:r>
      <w:r w:rsidR="3C70FA1B">
        <w:t>é</w:t>
      </w:r>
      <w:r>
        <w:t xml:space="preserve"> války evropští kolonisté</w:t>
      </w:r>
      <w:r w:rsidR="2A3732DF">
        <w:t>.</w:t>
      </w:r>
    </w:p>
    <w:p w14:paraId="61FDDD8F" w14:textId="2C853AC9" w:rsidR="008C697A" w:rsidRDefault="00F85E01">
      <w:pPr>
        <w:numPr>
          <w:ilvl w:val="0"/>
          <w:numId w:val="7"/>
        </w:numPr>
      </w:pPr>
      <w:r>
        <w:t>se od nadvlády Evropanů osamostatnila první kolonie Togo</w:t>
      </w:r>
      <w:r w:rsidR="12980685">
        <w:t>.</w:t>
      </w:r>
    </w:p>
    <w:p w14:paraId="63299F66" w14:textId="3B120689" w:rsidR="008C697A" w:rsidRDefault="00F85E01">
      <w:pPr>
        <w:numPr>
          <w:ilvl w:val="0"/>
          <w:numId w:val="7"/>
        </w:numPr>
      </w:pPr>
      <w:r>
        <w:t>získalo tento rok nezávislost nejvíce afrických států najednou (celkem 18)</w:t>
      </w:r>
      <w:r w:rsidR="416621D3">
        <w:t>.</w:t>
      </w:r>
    </w:p>
    <w:p w14:paraId="4ED4EDD6" w14:textId="08F6CEEF" w:rsidR="008C697A" w:rsidRDefault="00F85E01">
      <w:pPr>
        <w:numPr>
          <w:ilvl w:val="0"/>
          <w:numId w:val="7"/>
        </w:numPr>
      </w:pPr>
      <w:r>
        <w:t>získala nezávislost poslední bývalá kolonie Senegal</w:t>
      </w:r>
      <w:r w:rsidR="478D1853">
        <w:t>.</w:t>
      </w:r>
    </w:p>
    <w:p w14:paraId="59B50627" w14:textId="77777777" w:rsidR="008C697A" w:rsidRDefault="008C697A"/>
    <w:p w14:paraId="10B9F717" w14:textId="77777777" w:rsidR="008C697A" w:rsidRDefault="008C697A"/>
    <w:p w14:paraId="4948D691" w14:textId="77777777" w:rsidR="008C697A" w:rsidRDefault="00F85E01">
      <w:r>
        <w:t xml:space="preserve"> </w:t>
      </w:r>
    </w:p>
    <w:p w14:paraId="0A5C4EC6" w14:textId="6381BCB7" w:rsidR="008C697A" w:rsidRDefault="00F85E01">
      <w:r>
        <w:t>23.1.2 Co můžeme s jistotou tvrdit o dekolonizaci? Vyber všechny správné odpovědi</w:t>
      </w:r>
      <w:r w:rsidR="31C7303C">
        <w:t>.</w:t>
      </w:r>
      <w:r>
        <w:t xml:space="preserve"> </w:t>
      </w:r>
    </w:p>
    <w:p w14:paraId="1246AA18" w14:textId="23BF5FC7" w:rsidR="008C697A" w:rsidRDefault="6CA1EB77">
      <w:pPr>
        <w:numPr>
          <w:ilvl w:val="0"/>
          <w:numId w:val="6"/>
        </w:numPr>
      </w:pPr>
      <w:r>
        <w:t>P</w:t>
      </w:r>
      <w:r w:rsidR="00F85E01">
        <w:t>robíhala po druhé světové válce, zejména v Africe a Asii</w:t>
      </w:r>
      <w:r w:rsidR="5255AD20">
        <w:t>.</w:t>
      </w:r>
    </w:p>
    <w:p w14:paraId="3BF81BFB" w14:textId="0670AE3E" w:rsidR="008C697A" w:rsidRDefault="5255AD20">
      <w:pPr>
        <w:numPr>
          <w:ilvl w:val="0"/>
          <w:numId w:val="6"/>
        </w:numPr>
      </w:pPr>
      <w:r>
        <w:t>B</w:t>
      </w:r>
      <w:r w:rsidR="00F85E01">
        <w:t>yla bohužel většinou spojena s násilím, protože evropské země se nechtěly vzdát svých kolonií bez boje</w:t>
      </w:r>
      <w:r w:rsidR="1B2E79D6">
        <w:t>.</w:t>
      </w:r>
    </w:p>
    <w:p w14:paraId="38564E0A" w14:textId="115DBF3F" w:rsidR="008C697A" w:rsidRDefault="1B2E79D6">
      <w:pPr>
        <w:numPr>
          <w:ilvl w:val="0"/>
          <w:numId w:val="6"/>
        </w:numPr>
      </w:pPr>
      <w:r>
        <w:t>P</w:t>
      </w:r>
      <w:r w:rsidR="00F85E01">
        <w:t>řinesla nově vzniklým státům politickou svobodu a hospodářskou prosperitu</w:t>
      </w:r>
      <w:r w:rsidR="357EF99F">
        <w:t>.</w:t>
      </w:r>
    </w:p>
    <w:p w14:paraId="61FCB803" w14:textId="04ABAC92" w:rsidR="008C697A" w:rsidRDefault="357EF99F">
      <w:pPr>
        <w:numPr>
          <w:ilvl w:val="0"/>
          <w:numId w:val="6"/>
        </w:numPr>
      </w:pPr>
      <w:r>
        <w:t>N</w:t>
      </w:r>
      <w:r w:rsidR="00F85E01">
        <w:t>ezměnila situaci v nových státech vždy tak, jak si původně političtí vůdci v koloniích představovali</w:t>
      </w:r>
      <w:r w:rsidR="598F34B8">
        <w:t>.</w:t>
      </w:r>
    </w:p>
    <w:p w14:paraId="372C37E3" w14:textId="77777777" w:rsidR="008C697A" w:rsidRDefault="00F85E01">
      <w:pPr>
        <w:ind w:left="720"/>
      </w:pPr>
      <w:r>
        <w:t xml:space="preserve"> </w:t>
      </w:r>
    </w:p>
    <w:p w14:paraId="3668CF6A" w14:textId="77777777" w:rsidR="008C697A" w:rsidRDefault="008C697A"/>
    <w:p w14:paraId="6DE9E814" w14:textId="5AF3D313" w:rsidR="008C697A" w:rsidRDefault="00F85E01" w:rsidP="496DAF73">
      <w:pPr>
        <w:rPr>
          <w:b/>
          <w:bCs/>
        </w:rPr>
      </w:pPr>
      <w:r w:rsidRPr="13390AA2">
        <w:rPr>
          <w:b/>
          <w:bCs/>
        </w:rPr>
        <w:t>23.2 Složitější úkoly vázané na procedurální dovednosti a koncepty historického myšlení</w:t>
      </w:r>
    </w:p>
    <w:p w14:paraId="4179278C" w14:textId="77777777" w:rsidR="008C697A" w:rsidRDefault="008C697A"/>
    <w:p w14:paraId="5FEF0F6F" w14:textId="6382CA04" w:rsidR="008C697A" w:rsidRDefault="00F85E01">
      <w:r>
        <w:t>23.2.1 Přečti si hodnocení dekolonizace a odpověz na otázku.</w:t>
      </w:r>
    </w:p>
    <w:p w14:paraId="712FEC8A" w14:textId="4B6E002D" w:rsidR="008C697A" w:rsidRDefault="2E60A17F" w:rsidP="13390AA2">
      <w:pPr>
        <w:rPr>
          <w:i/>
          <w:iCs/>
        </w:rPr>
      </w:pPr>
      <w:r w:rsidRPr="13390AA2">
        <w:rPr>
          <w:i/>
          <w:iCs/>
        </w:rPr>
        <w:t>„</w:t>
      </w:r>
      <w:r w:rsidR="00F85E01" w:rsidRPr="13390AA2">
        <w:rPr>
          <w:i/>
          <w:iCs/>
        </w:rPr>
        <w:t xml:space="preserve">Po </w:t>
      </w:r>
      <w:r w:rsidR="70A5AECA" w:rsidRPr="13390AA2">
        <w:rPr>
          <w:i/>
          <w:iCs/>
        </w:rPr>
        <w:t>padesáti</w:t>
      </w:r>
      <w:r w:rsidR="00F85E01" w:rsidRPr="13390AA2">
        <w:rPr>
          <w:i/>
          <w:iCs/>
        </w:rPr>
        <w:t xml:space="preserve"> letech od získání nezávislosti není vidět nic skutečně významného ani v ekonomické, politické, sociální či kulturní oblasti skutečného osvobození…</w:t>
      </w:r>
    </w:p>
    <w:p w14:paraId="56925474" w14:textId="77777777" w:rsidR="008C697A" w:rsidRDefault="00F85E01">
      <w:pPr>
        <w:rPr>
          <w:i/>
        </w:rPr>
      </w:pPr>
      <w:r>
        <w:rPr>
          <w:i/>
        </w:rPr>
        <w:t>To však neznamená, že by Afrika byla ztracena. Pouze povrchní pohled na africkou situaci by nás mohl přesvědčit, že je to tak. V hloubi duše v Africe existuje naděje, která se během posledních padesáti let vytvořila.</w:t>
      </w:r>
    </w:p>
    <w:p w14:paraId="46BEDCC1" w14:textId="4F49A0F7" w:rsidR="008C697A" w:rsidRDefault="00F85E01" w:rsidP="13390AA2">
      <w:pPr>
        <w:rPr>
          <w:i/>
          <w:iCs/>
        </w:rPr>
      </w:pPr>
      <w:r w:rsidRPr="13390AA2">
        <w:rPr>
          <w:i/>
          <w:iCs/>
        </w:rPr>
        <w:t>Afrika se obnovuje a oživuje v kořenech, i když povrchové příznaky by mohly naznačovat, že kontinent umírá. Skutečné hodnocení nezávislosti není ani nezdar</w:t>
      </w:r>
      <w:r w:rsidR="49AFFCC6" w:rsidRPr="13390AA2">
        <w:rPr>
          <w:i/>
          <w:iCs/>
        </w:rPr>
        <w:t>,</w:t>
      </w:r>
      <w:r w:rsidRPr="13390AA2">
        <w:rPr>
          <w:i/>
          <w:iCs/>
        </w:rPr>
        <w:t xml:space="preserve"> ani úspěch, ale úspěch v nezdaru a nezdar v úspěchu.</w:t>
      </w:r>
      <w:r w:rsidR="3DADD00A" w:rsidRPr="13390AA2">
        <w:rPr>
          <w:i/>
          <w:iCs/>
        </w:rPr>
        <w:t>“</w:t>
      </w:r>
    </w:p>
    <w:p w14:paraId="2327A032" w14:textId="77777777" w:rsidR="008C697A" w:rsidRDefault="008C697A"/>
    <w:p w14:paraId="42396DF6" w14:textId="77777777" w:rsidR="008C697A" w:rsidRDefault="00F85E01">
      <w:r>
        <w:t xml:space="preserve">Jaký má </w:t>
      </w:r>
      <w:proofErr w:type="spellStart"/>
      <w:r>
        <w:t>Kä</w:t>
      </w:r>
      <w:proofErr w:type="spellEnd"/>
      <w:r>
        <w:t xml:space="preserve"> Mana názor na dekolonizaci Afriky? Vyber správné odpovědi, které lze z textu vyvodit.</w:t>
      </w:r>
    </w:p>
    <w:p w14:paraId="303C615E" w14:textId="1245F5F8" w:rsidR="008C697A" w:rsidRDefault="37CB6BC8">
      <w:pPr>
        <w:numPr>
          <w:ilvl w:val="0"/>
          <w:numId w:val="2"/>
        </w:numPr>
      </w:pPr>
      <w:r>
        <w:t>H</w:t>
      </w:r>
      <w:r w:rsidR="00F85E01">
        <w:t>odnotí zisk nezávislosti jako úspěšnou změnu, která splnila nadějná očekávání</w:t>
      </w:r>
      <w:r w:rsidR="2CB47119">
        <w:t>.</w:t>
      </w:r>
    </w:p>
    <w:p w14:paraId="17701550" w14:textId="7ABADA72" w:rsidR="008C697A" w:rsidRDefault="2CB47119">
      <w:pPr>
        <w:numPr>
          <w:ilvl w:val="0"/>
          <w:numId w:val="2"/>
        </w:numPr>
      </w:pPr>
      <w:r>
        <w:t>D</w:t>
      </w:r>
      <w:r w:rsidR="00F85E01">
        <w:t>omnívá se, že dekolonizace trvá desítky let a neskončila vyhlášením nezávislosti</w:t>
      </w:r>
      <w:r w:rsidR="4DA059AD">
        <w:t>.</w:t>
      </w:r>
    </w:p>
    <w:p w14:paraId="41EE6073" w14:textId="64A904ED" w:rsidR="008C697A" w:rsidRDefault="4DA059AD">
      <w:pPr>
        <w:numPr>
          <w:ilvl w:val="0"/>
          <w:numId w:val="2"/>
        </w:numPr>
      </w:pPr>
      <w:r>
        <w:t>H</w:t>
      </w:r>
      <w:r w:rsidR="00F85E01">
        <w:t xml:space="preserve">odnotí proces dekolonizace jako jednoznačný neúspěch, vedoucí k </w:t>
      </w:r>
      <w:r w:rsidR="0E0A0237">
        <w:t>„</w:t>
      </w:r>
      <w:r w:rsidR="00F85E01">
        <w:t>umírání</w:t>
      </w:r>
      <w:r w:rsidR="5A7B57EB">
        <w:t>“</w:t>
      </w:r>
      <w:r w:rsidR="00F85E01">
        <w:t xml:space="preserve"> kontinentu</w:t>
      </w:r>
      <w:r w:rsidR="31E90786">
        <w:t>.</w:t>
      </w:r>
      <w:r w:rsidR="00F85E01">
        <w:t xml:space="preserve"> </w:t>
      </w:r>
    </w:p>
    <w:p w14:paraId="70F6F311" w14:textId="61DA4F37" w:rsidR="008C697A" w:rsidRDefault="021AB65F">
      <w:pPr>
        <w:numPr>
          <w:ilvl w:val="0"/>
          <w:numId w:val="2"/>
        </w:numPr>
      </w:pPr>
      <w:r>
        <w:t>I</w:t>
      </w:r>
      <w:r w:rsidR="00F85E01">
        <w:t xml:space="preserve"> přes současné problémy vnímá dekolonizaci jako zdroj naděje pro zlepšení situace Afriky</w:t>
      </w:r>
      <w:r w:rsidR="255BB940">
        <w:t>.</w:t>
      </w:r>
    </w:p>
    <w:p w14:paraId="4CD7C478" w14:textId="77777777" w:rsidR="008C697A" w:rsidRDefault="00F85E01">
      <w:pPr>
        <w:numPr>
          <w:ilvl w:val="0"/>
          <w:numId w:val="2"/>
        </w:numPr>
      </w:pPr>
      <w:r>
        <w:t>Dekolonizaci nepovažuje za problém, se kterým by se Afrika musela nějak vyrovnávat.</w:t>
      </w:r>
    </w:p>
    <w:p w14:paraId="0C98FBA6" w14:textId="77777777" w:rsidR="008C697A" w:rsidRDefault="008C697A"/>
    <w:p w14:paraId="63FAD0CA" w14:textId="1F4560BF" w:rsidR="008C697A" w:rsidRDefault="00F85E01">
      <w:r>
        <w:t xml:space="preserve">23.2.2 Ghana </w:t>
      </w:r>
      <w:proofErr w:type="gramStart"/>
      <w:r>
        <w:t>patří</w:t>
      </w:r>
      <w:proofErr w:type="gramEnd"/>
      <w:r>
        <w:t xml:space="preserve"> k zemím, které získaly v roce 1957 politickou nezávislost na Francii. Přečti si vzpomínku českého inženýra a odpověz na otázku.</w:t>
      </w:r>
    </w:p>
    <w:p w14:paraId="2828CC25" w14:textId="77777777" w:rsidR="008C697A" w:rsidRDefault="00F85E01">
      <w:pPr>
        <w:rPr>
          <w:rFonts w:ascii="Calibri" w:eastAsia="Calibri" w:hAnsi="Calibri" w:cs="Calibri"/>
          <w:i/>
          <w:sz w:val="48"/>
          <w:szCs w:val="48"/>
        </w:rPr>
      </w:pPr>
      <w:r>
        <w:rPr>
          <w:i/>
        </w:rPr>
        <w:lastRenderedPageBreak/>
        <w:t xml:space="preserve">„Projeli jsme oblasti řeky Pra, </w:t>
      </w:r>
      <w:proofErr w:type="spellStart"/>
      <w:r>
        <w:rPr>
          <w:i/>
        </w:rPr>
        <w:t>Tano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Hemang</w:t>
      </w:r>
      <w:proofErr w:type="spellEnd"/>
      <w:r>
        <w:rPr>
          <w:i/>
        </w:rPr>
        <w:t xml:space="preserve"> v jihozápadní Ghaně, potom jsme vytipovali třináct míst vhodných ke stavbě přehrad a všechno anglicky zpracovali do souborné studie. Naši skupinu asi na dva měsíce posílil geodet Havlík, se kterým jsme některé body zaměřovali. Žádné elektrárny podle našich návrhů pak ale postaveny nebyly. O jeden dva roky nás předběhli Američané, kteří začali stavět přehradu </w:t>
      </w:r>
      <w:proofErr w:type="spellStart"/>
      <w:r>
        <w:rPr>
          <w:i/>
        </w:rPr>
        <w:t>Akosombo</w:t>
      </w:r>
      <w:proofErr w:type="spellEnd"/>
      <w:r>
        <w:rPr>
          <w:i/>
        </w:rPr>
        <w:t xml:space="preserve"> na řece Voltě. U </w:t>
      </w:r>
      <w:proofErr w:type="spellStart"/>
      <w:r>
        <w:rPr>
          <w:i/>
        </w:rPr>
        <w:t>Akosomba</w:t>
      </w:r>
      <w:proofErr w:type="spellEnd"/>
      <w:r>
        <w:rPr>
          <w:i/>
        </w:rPr>
        <w:t xml:space="preserve"> museli postavit továrnu na hliník, a ta potom energii využívala, to byla vlastně taková </w:t>
      </w:r>
      <w:proofErr w:type="spellStart"/>
      <w:r>
        <w:rPr>
          <w:i/>
        </w:rPr>
        <w:t>neokolonizace</w:t>
      </w:r>
      <w:proofErr w:type="spellEnd"/>
      <w:r>
        <w:rPr>
          <w:i/>
        </w:rPr>
        <w:t>.“</w:t>
      </w:r>
    </w:p>
    <w:p w14:paraId="402C7D76" w14:textId="77777777" w:rsidR="008C697A" w:rsidRDefault="008C697A">
      <w:pPr>
        <w:rPr>
          <w:sz w:val="20"/>
          <w:szCs w:val="20"/>
        </w:rPr>
      </w:pPr>
    </w:p>
    <w:p w14:paraId="05D5DF6D" w14:textId="77777777" w:rsidR="008C697A" w:rsidRDefault="008C697A"/>
    <w:p w14:paraId="78E91DFA" w14:textId="29BA2C0D" w:rsidR="008C697A" w:rsidRDefault="00F85E01">
      <w:r>
        <w:t>Proč dělali českoslovenští a američtí inženýři na začátku 60. letech průzkumy v Ghaně? Vyber všechny možnosti, které přicház</w:t>
      </w:r>
      <w:r w:rsidR="20E959F7">
        <w:t>ej</w:t>
      </w:r>
      <w:r>
        <w:t xml:space="preserve">í v úvahu, zohledni dobové souvislosti dekolonizace. </w:t>
      </w:r>
    </w:p>
    <w:p w14:paraId="223007AB" w14:textId="1E876180" w:rsidR="008C697A" w:rsidRDefault="00F85E01">
      <w:pPr>
        <w:numPr>
          <w:ilvl w:val="0"/>
          <w:numId w:val="3"/>
        </w:numPr>
      </w:pPr>
      <w:r>
        <w:t>Ghana získala nezávislost, ale neměla asi dost odborníků na stavbu přehrady</w:t>
      </w:r>
      <w:r w:rsidR="62D1ACC0">
        <w:t>.</w:t>
      </w:r>
    </w:p>
    <w:p w14:paraId="27A2EABD" w14:textId="0712DA98" w:rsidR="008C697A" w:rsidRDefault="00F85E01">
      <w:pPr>
        <w:numPr>
          <w:ilvl w:val="0"/>
          <w:numId w:val="3"/>
        </w:numPr>
      </w:pPr>
      <w:r>
        <w:t>Firmy z Československa a USA přišly na pozvání koloniální francouzské správy, která jim mohla přislíbit podíl na zakázce</w:t>
      </w:r>
      <w:r w:rsidR="4FA820BF">
        <w:t>.</w:t>
      </w:r>
    </w:p>
    <w:p w14:paraId="3014104E" w14:textId="2F7F67EC" w:rsidR="008C697A" w:rsidRDefault="00F85E01">
      <w:pPr>
        <w:numPr>
          <w:ilvl w:val="0"/>
          <w:numId w:val="3"/>
        </w:numPr>
      </w:pPr>
      <w:r>
        <w:t>Vláda v Ghaně chtěla modernizovat zemi a postavit továrnu na hliník</w:t>
      </w:r>
      <w:r w:rsidR="7A47631D">
        <w:t>.</w:t>
      </w:r>
    </w:p>
    <w:p w14:paraId="0CC24A4B" w14:textId="2E1A17D8" w:rsidR="008C697A" w:rsidRDefault="00F85E01">
      <w:pPr>
        <w:numPr>
          <w:ilvl w:val="0"/>
          <w:numId w:val="3"/>
        </w:numPr>
      </w:pPr>
      <w:r>
        <w:t>Vláda v Ghaně nechtěla využít pomoci odborníků z Francie, aby ukázala, že se dokáže rozvíjet i bez pomoci bývalých kolonistů</w:t>
      </w:r>
      <w:r w:rsidR="48754C45">
        <w:t>.</w:t>
      </w:r>
      <w:r>
        <w:t xml:space="preserve"> </w:t>
      </w:r>
    </w:p>
    <w:p w14:paraId="14A8DD71" w14:textId="77777777" w:rsidR="008C697A" w:rsidRDefault="008C697A"/>
    <w:p w14:paraId="2D43E263" w14:textId="77777777" w:rsidR="008C697A" w:rsidRDefault="00F85E01" w:rsidP="13390AA2">
      <w:pPr>
        <w:rPr>
          <w:i/>
          <w:iCs/>
        </w:rPr>
      </w:pPr>
      <w:r w:rsidRPr="13390AA2">
        <w:rPr>
          <w:i/>
          <w:iCs/>
        </w:rPr>
        <w:t>správné odpovědi: a, c, d</w:t>
      </w:r>
    </w:p>
    <w:p w14:paraId="2050BB7F" w14:textId="77777777" w:rsidR="008C697A" w:rsidRDefault="008C697A">
      <w:pPr>
        <w:rPr>
          <w:b/>
        </w:rPr>
      </w:pPr>
    </w:p>
    <w:p w14:paraId="5435AE35" w14:textId="6F1C5E42" w:rsidR="008C697A" w:rsidRDefault="00F85E01" w:rsidP="496DAF73">
      <w:pPr>
        <w:rPr>
          <w:b/>
          <w:bCs/>
        </w:rPr>
      </w:pPr>
      <w:r w:rsidRPr="13390AA2">
        <w:rPr>
          <w:b/>
          <w:bCs/>
        </w:rPr>
        <w:t xml:space="preserve">23.3 Komplexní úkoly vázané na </w:t>
      </w:r>
      <w:proofErr w:type="spellStart"/>
      <w:r w:rsidRPr="13390AA2">
        <w:rPr>
          <w:b/>
          <w:bCs/>
        </w:rPr>
        <w:t>metakognitivní</w:t>
      </w:r>
      <w:proofErr w:type="spellEnd"/>
      <w:r w:rsidRPr="13390AA2">
        <w:rPr>
          <w:b/>
          <w:bCs/>
        </w:rPr>
        <w:t xml:space="preserve"> dimenze myšlení a historické koncepty</w:t>
      </w:r>
    </w:p>
    <w:p w14:paraId="2A691480" w14:textId="77777777" w:rsidR="008C697A" w:rsidRDefault="008C697A"/>
    <w:p w14:paraId="1C4445E6" w14:textId="77777777" w:rsidR="008C697A" w:rsidRDefault="00F85E01">
      <w:r>
        <w:t>Prohlédni si dvě mapy (subsaharské) části Afriky (Zdroj: alternatehistory.com)</w:t>
      </w:r>
    </w:p>
    <w:p w14:paraId="023A4267" w14:textId="77777777" w:rsidR="008C697A" w:rsidRDefault="00F85E01">
      <w:r>
        <w:rPr>
          <w:noProof/>
        </w:rPr>
        <w:drawing>
          <wp:inline distT="114300" distB="114300" distL="114300" distR="114300" wp14:anchorId="417A0F3A" wp14:editId="02A6E869">
            <wp:extent cx="2803277" cy="2654694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l="2057" b="50439"/>
                    <a:stretch>
                      <a:fillRect/>
                    </a:stretch>
                  </pic:blipFill>
                  <pic:spPr>
                    <a:xfrm>
                      <a:off x="0" y="0"/>
                      <a:ext cx="2803277" cy="26546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582EAA6F" wp14:editId="114D3733">
            <wp:extent cx="2813183" cy="2654694"/>
            <wp:effectExtent l="0" t="0" r="0" b="0"/>
            <wp:docPr id="1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l="2057" t="49999"/>
                    <a:stretch>
                      <a:fillRect/>
                    </a:stretch>
                  </pic:blipFill>
                  <pic:spPr>
                    <a:xfrm>
                      <a:off x="0" y="0"/>
                      <a:ext cx="2813183" cy="26546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122597" w14:textId="77777777" w:rsidR="008C697A" w:rsidRDefault="008C697A"/>
    <w:p w14:paraId="2338BFDE" w14:textId="4C5CE412" w:rsidR="008C697A" w:rsidRDefault="00F85E01">
      <w:r>
        <w:t xml:space="preserve">23.3.1 Vytvoř k mapám v následující tabulce společnou legendu. </w:t>
      </w:r>
    </w:p>
    <w:p w14:paraId="53255FFE" w14:textId="77777777" w:rsidR="008C697A" w:rsidRDefault="008C697A"/>
    <w:tbl>
      <w:tblPr>
        <w:tblStyle w:val="a"/>
        <w:tblW w:w="900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6870"/>
      </w:tblGrid>
      <w:tr w:rsidR="008C697A" w14:paraId="2C5442CF" w14:textId="77777777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083E4" w14:textId="77777777" w:rsidR="008C697A" w:rsidRDefault="00F85E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Název dvojice map (jaký jev zachycují):</w:t>
            </w:r>
          </w:p>
          <w:p w14:paraId="4F309BE4" w14:textId="77777777" w:rsidR="008C697A" w:rsidRDefault="008C6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6D96068" w14:textId="77777777" w:rsidR="008C697A" w:rsidRDefault="008C6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C697A" w14:paraId="721A6F08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3CE8D" w14:textId="77777777" w:rsidR="008C697A" w:rsidRDefault="00F85E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žlutá barva</w:t>
            </w:r>
          </w:p>
        </w:tc>
        <w:tc>
          <w:tcPr>
            <w:tcW w:w="6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7B869" w14:textId="77777777" w:rsidR="008C697A" w:rsidRDefault="008C6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C697A" w14:paraId="5B7EA46F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26C68" w14:textId="77777777" w:rsidR="008C697A" w:rsidRDefault="00F85E01">
            <w:pPr>
              <w:widowControl w:val="0"/>
              <w:spacing w:line="240" w:lineRule="auto"/>
            </w:pPr>
            <w:r>
              <w:lastRenderedPageBreak/>
              <w:t>světle zelená barva</w:t>
            </w:r>
          </w:p>
        </w:tc>
        <w:tc>
          <w:tcPr>
            <w:tcW w:w="6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5BE33" w14:textId="77777777" w:rsidR="008C697A" w:rsidRDefault="008C6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C697A" w14:paraId="6A65C21C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7248C" w14:textId="77777777" w:rsidR="008C697A" w:rsidRDefault="00F85E01">
            <w:pPr>
              <w:widowControl w:val="0"/>
              <w:spacing w:line="240" w:lineRule="auto"/>
            </w:pPr>
            <w:r>
              <w:t>růžová barva</w:t>
            </w:r>
          </w:p>
        </w:tc>
        <w:tc>
          <w:tcPr>
            <w:tcW w:w="6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1C9C2" w14:textId="77777777" w:rsidR="008C697A" w:rsidRDefault="008C69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C697A" w14:paraId="22A7DA71" w14:textId="77777777"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49392" w14:textId="77777777" w:rsidR="008C697A" w:rsidRDefault="00F85E01">
            <w:pPr>
              <w:widowControl w:val="0"/>
              <w:spacing w:line="240" w:lineRule="auto"/>
            </w:pPr>
            <w:r>
              <w:t>modrá barva</w:t>
            </w:r>
          </w:p>
        </w:tc>
        <w:tc>
          <w:tcPr>
            <w:tcW w:w="6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E3B5A" w14:textId="77777777" w:rsidR="008C697A" w:rsidRDefault="00F85E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belgická kolonie</w:t>
            </w:r>
          </w:p>
        </w:tc>
      </w:tr>
    </w:tbl>
    <w:p w14:paraId="1C73E65D" w14:textId="77777777" w:rsidR="008C697A" w:rsidRDefault="008C697A"/>
    <w:p w14:paraId="255931F0" w14:textId="6889B348" w:rsidR="008C697A" w:rsidRDefault="00F85E01">
      <w:r>
        <w:t xml:space="preserve">23.3.2 Představ si, že máš v krocích </w:t>
      </w:r>
      <w:r w:rsidRPr="13390AA2">
        <w:rPr>
          <w:u w:val="single"/>
        </w:rPr>
        <w:t>popsat a vysvětlit</w:t>
      </w:r>
      <w:r>
        <w:t xml:space="preserve"> svůj postup spolužákům. Jak jsi zjistil/a, jak legendu správně vyplnit? Jaké informace z map nebo z lekce jsi využil/a? Napiš tolik kroků, kolik uznáš za vhodné. Využij například formulace: Nejdříve jsem…, protože…; Poté… </w:t>
      </w:r>
    </w:p>
    <w:p w14:paraId="69DD87D8" w14:textId="77777777" w:rsidR="008C697A" w:rsidRDefault="00F85E01">
      <w:r>
        <w:t>Krok 1:</w:t>
      </w:r>
    </w:p>
    <w:p w14:paraId="72B16A7E" w14:textId="77777777" w:rsidR="008C697A" w:rsidRDefault="008C697A"/>
    <w:p w14:paraId="1B4F5BBC" w14:textId="77777777" w:rsidR="008C697A" w:rsidRDefault="008C697A"/>
    <w:p w14:paraId="4E7F0DCB" w14:textId="77777777" w:rsidR="008C697A" w:rsidRDefault="00F85E01">
      <w:r>
        <w:t xml:space="preserve">Krok 2: </w:t>
      </w:r>
    </w:p>
    <w:p w14:paraId="7B40FE0F" w14:textId="77777777" w:rsidR="008C697A" w:rsidRDefault="008C697A"/>
    <w:p w14:paraId="075F7313" w14:textId="77777777" w:rsidR="008C697A" w:rsidRDefault="008C697A"/>
    <w:p w14:paraId="73CE497C" w14:textId="77777777" w:rsidR="008C697A" w:rsidRDefault="00F85E01">
      <w:r>
        <w:t xml:space="preserve">Krok 3: </w:t>
      </w:r>
    </w:p>
    <w:p w14:paraId="4BE612FB" w14:textId="77777777" w:rsidR="008C697A" w:rsidRDefault="008C697A"/>
    <w:p w14:paraId="5473079E" w14:textId="30191730" w:rsidR="008C697A" w:rsidRDefault="59B4E0BF" w:rsidP="13390AA2">
      <w:pPr>
        <w:rPr>
          <w:i/>
          <w:iCs/>
        </w:rPr>
      </w:pPr>
      <w:r w:rsidRPr="13390AA2">
        <w:rPr>
          <w:i/>
          <w:iCs/>
        </w:rPr>
        <w:t>M</w:t>
      </w:r>
      <w:r w:rsidR="00F85E01" w:rsidRPr="13390AA2">
        <w:rPr>
          <w:i/>
          <w:iCs/>
        </w:rPr>
        <w:t xml:space="preserve">etodický komentář: žák by měl využít odlišné datace map (1950 a 1970), všimnout si změny barev, využít informaci o </w:t>
      </w:r>
      <w:r w:rsidR="2F8CEA71" w:rsidRPr="13390AA2">
        <w:rPr>
          <w:i/>
          <w:iCs/>
        </w:rPr>
        <w:t>„</w:t>
      </w:r>
      <w:r w:rsidR="00F85E01" w:rsidRPr="13390AA2">
        <w:rPr>
          <w:i/>
          <w:iCs/>
        </w:rPr>
        <w:t>roku Afriky</w:t>
      </w:r>
      <w:r w:rsidR="1A5563A6" w:rsidRPr="13390AA2">
        <w:rPr>
          <w:i/>
          <w:iCs/>
        </w:rPr>
        <w:t>“</w:t>
      </w:r>
      <w:r w:rsidR="00F85E01" w:rsidRPr="13390AA2">
        <w:rPr>
          <w:i/>
          <w:iCs/>
        </w:rPr>
        <w:t xml:space="preserve"> (1960) a vyhodnotit, že rozšiřující se žlutá barva označuje zisk nezávislosti. Zkušenost se zdroji 1 nebo 3 v lekci mu umožní identifikovat francouzské (zelená) a britské (růžové) kolonie. </w:t>
      </w:r>
    </w:p>
    <w:p w14:paraId="5BF80978" w14:textId="77777777" w:rsidR="008C697A" w:rsidRDefault="008C697A"/>
    <w:p w14:paraId="55902EF6" w14:textId="4440F53F" w:rsidR="008C697A" w:rsidRDefault="3E36AAEE">
      <w:r>
        <w:t>23.3.3 Pokud sis nevěděl/a rady, jaký význam má některá z barev, navrhni, kde bys získal</w:t>
      </w:r>
      <w:r w:rsidR="34154AAD">
        <w:t>/a</w:t>
      </w:r>
      <w:r>
        <w:t xml:space="preserve"> důvěryhodné informace k dokončení legendy. Nepoužívej odpovědi </w:t>
      </w:r>
      <w:r w:rsidR="12431BAB">
        <w:t>„</w:t>
      </w:r>
      <w:r>
        <w:t xml:space="preserve">na wikipedii nebo </w:t>
      </w:r>
      <w:r w:rsidR="15E66B0C">
        <w:t>„</w:t>
      </w:r>
      <w:r>
        <w:t>od vyučujícího dějepisu</w:t>
      </w:r>
      <w:r w:rsidR="58BD9C7D">
        <w:t>“</w:t>
      </w:r>
      <w:r>
        <w:t>. Buď co nejvíce konkrétní. Navrhni alespoň dva zdroje</w:t>
      </w:r>
      <w:r w:rsidR="70CC26AD">
        <w:t>:</w:t>
      </w:r>
    </w:p>
    <w:p w14:paraId="5F75D6FC" w14:textId="366E7D81" w:rsidR="5A9D2B96" w:rsidRDefault="5A9D2B96"/>
    <w:p w14:paraId="17668290" w14:textId="77777777" w:rsidR="008C697A" w:rsidRDefault="00F85E01">
      <w:r>
        <w:t xml:space="preserve">1. </w:t>
      </w:r>
    </w:p>
    <w:p w14:paraId="52AB9711" w14:textId="77777777" w:rsidR="008C697A" w:rsidRDefault="008C697A"/>
    <w:p w14:paraId="1BCF4F54" w14:textId="77777777" w:rsidR="008C697A" w:rsidRDefault="00F85E01">
      <w:r>
        <w:t xml:space="preserve">2. </w:t>
      </w:r>
    </w:p>
    <w:p w14:paraId="7B230F6C" w14:textId="77777777" w:rsidR="008C697A" w:rsidRDefault="008C697A"/>
    <w:p w14:paraId="0B138E22" w14:textId="77777777" w:rsidR="008C697A" w:rsidRDefault="008C697A">
      <w:pPr>
        <w:rPr>
          <w:i/>
        </w:rPr>
      </w:pPr>
    </w:p>
    <w:p w14:paraId="08407769" w14:textId="77777777" w:rsidR="008C697A" w:rsidRDefault="008C697A">
      <w:pPr>
        <w:rPr>
          <w:i/>
        </w:rPr>
      </w:pPr>
    </w:p>
    <w:p w14:paraId="20B43DE1" w14:textId="77777777" w:rsidR="008C697A" w:rsidRDefault="008C697A"/>
    <w:p w14:paraId="3DB692F1" w14:textId="77777777" w:rsidR="008C697A" w:rsidRDefault="00F85E01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Vyhodnocení úloh, citace zdrojů, komentáře</w:t>
      </w:r>
    </w:p>
    <w:p w14:paraId="202FF5DA" w14:textId="77777777" w:rsidR="008C697A" w:rsidRDefault="008C697A"/>
    <w:p w14:paraId="6AF77EEA" w14:textId="77777777" w:rsidR="008C697A" w:rsidRDefault="008C697A"/>
    <w:tbl>
      <w:tblPr>
        <w:tblStyle w:val="a3"/>
        <w:tblW w:w="900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7500"/>
      </w:tblGrid>
      <w:tr w:rsidR="008C697A" w14:paraId="79D5FE61" w14:textId="77777777" w:rsidTr="13390AA2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CC53A" w14:textId="7995A2C7" w:rsidR="008C697A" w:rsidRDefault="5637972A">
            <w:pPr>
              <w:widowControl w:val="0"/>
              <w:spacing w:line="240" w:lineRule="auto"/>
            </w:pPr>
            <w:r>
              <w:t>23.1.1</w:t>
            </w:r>
          </w:p>
        </w:tc>
        <w:tc>
          <w:tcPr>
            <w:tcW w:w="7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72367" w14:textId="77777777" w:rsidR="008C697A" w:rsidRDefault="00F85E01">
            <w:pPr>
              <w:widowControl w:val="0"/>
              <w:spacing w:line="240" w:lineRule="auto"/>
            </w:pPr>
            <w:r>
              <w:t>1960, c</w:t>
            </w:r>
          </w:p>
        </w:tc>
      </w:tr>
      <w:tr w:rsidR="008C697A" w14:paraId="53F6743F" w14:textId="77777777" w:rsidTr="13390AA2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CD8E2" w14:textId="2ABB84D1" w:rsidR="008C697A" w:rsidRDefault="5637972A">
            <w:pPr>
              <w:widowControl w:val="0"/>
              <w:spacing w:line="240" w:lineRule="auto"/>
            </w:pPr>
            <w:r>
              <w:t>23.1.2</w:t>
            </w:r>
          </w:p>
        </w:tc>
        <w:tc>
          <w:tcPr>
            <w:tcW w:w="7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92381" w14:textId="77777777" w:rsidR="008C697A" w:rsidRDefault="00F85E01">
            <w:pPr>
              <w:widowControl w:val="0"/>
              <w:spacing w:line="240" w:lineRule="auto"/>
            </w:pPr>
            <w:r>
              <w:t>a, d</w:t>
            </w:r>
          </w:p>
          <w:p w14:paraId="6383D7B0" w14:textId="13B53EBA" w:rsidR="008C697A" w:rsidRDefault="5831772A">
            <w:pPr>
              <w:widowControl w:val="0"/>
              <w:spacing w:line="240" w:lineRule="auto"/>
            </w:pPr>
            <w:r>
              <w:t>P</w:t>
            </w:r>
            <w:r w:rsidR="5637972A">
              <w:t>ozn: bodování necháváme na uvážení, vždy však uveďte</w:t>
            </w:r>
            <w:r w:rsidR="4D892B04">
              <w:t>,</w:t>
            </w:r>
            <w:r w:rsidR="5637972A">
              <w:t xml:space="preserve"> za co dáváte body, jestli jeden bod za dvě správné možnosti nebo jeden bod pouze za správné možnosti (tj. když žák škrtne </w:t>
            </w:r>
            <w:r w:rsidR="725BED7A">
              <w:t>dvě</w:t>
            </w:r>
            <w:r w:rsidR="5637972A">
              <w:t xml:space="preserve"> správné a </w:t>
            </w:r>
            <w:r w:rsidR="6A4EE798">
              <w:t>jednu</w:t>
            </w:r>
            <w:r w:rsidR="5637972A">
              <w:t xml:space="preserve"> špatn</w:t>
            </w:r>
            <w:r w:rsidR="167331D3">
              <w:t>ou</w:t>
            </w:r>
            <w:r w:rsidR="65CA3278">
              <w:t>,</w:t>
            </w:r>
            <w:r w:rsidR="5637972A">
              <w:t xml:space="preserve"> nemá žádný bod) atp.</w:t>
            </w:r>
          </w:p>
        </w:tc>
      </w:tr>
      <w:tr w:rsidR="008C697A" w14:paraId="29863E83" w14:textId="77777777" w:rsidTr="13390AA2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671A6" w14:textId="682238D7" w:rsidR="008C697A" w:rsidRDefault="5637972A">
            <w:pPr>
              <w:widowControl w:val="0"/>
              <w:spacing w:line="240" w:lineRule="auto"/>
            </w:pPr>
            <w:r>
              <w:t>23.2.1</w:t>
            </w:r>
          </w:p>
        </w:tc>
        <w:tc>
          <w:tcPr>
            <w:tcW w:w="7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2C233" w14:textId="77777777" w:rsidR="008C697A" w:rsidRDefault="00F85E01">
            <w:pPr>
              <w:rPr>
                <w:sz w:val="24"/>
                <w:szCs w:val="24"/>
              </w:rPr>
            </w:pPr>
            <w:r>
              <w:t>Zdroj:</w:t>
            </w:r>
            <w:r w:rsidRPr="13390AA2">
              <w:rPr>
                <w:sz w:val="24"/>
                <w:szCs w:val="24"/>
              </w:rPr>
              <w:t xml:space="preserve"> </w:t>
            </w:r>
            <w:proofErr w:type="spellStart"/>
            <w:r w:rsidRPr="13390AA2">
              <w:t>Kä</w:t>
            </w:r>
            <w:proofErr w:type="spellEnd"/>
            <w:r w:rsidRPr="13390AA2">
              <w:t xml:space="preserve"> Mana, konžský </w:t>
            </w:r>
            <w:proofErr w:type="gramStart"/>
            <w:r w:rsidRPr="13390AA2">
              <w:t>filosof</w:t>
            </w:r>
            <w:proofErr w:type="gramEnd"/>
            <w:r w:rsidRPr="13390AA2">
              <w:t xml:space="preserve">, hodnotí dekolonizaci pro konžský deník </w:t>
            </w:r>
            <w:proofErr w:type="spellStart"/>
            <w:r w:rsidRPr="13390AA2">
              <w:rPr>
                <w:i/>
                <w:iCs/>
              </w:rPr>
              <w:t>Le</w:t>
            </w:r>
            <w:proofErr w:type="spellEnd"/>
            <w:r w:rsidRPr="13390AA2">
              <w:rPr>
                <w:i/>
                <w:iCs/>
              </w:rPr>
              <w:t xml:space="preserve"> </w:t>
            </w:r>
            <w:proofErr w:type="spellStart"/>
            <w:r w:rsidRPr="13390AA2">
              <w:rPr>
                <w:i/>
                <w:iCs/>
              </w:rPr>
              <w:t>Potentiel</w:t>
            </w:r>
            <w:proofErr w:type="spellEnd"/>
            <w:r w:rsidRPr="13390AA2">
              <w:t>, 14. května 2010, dostupné z</w:t>
            </w:r>
            <w:r w:rsidRPr="13390AA2">
              <w:rPr>
                <w:sz w:val="20"/>
                <w:szCs w:val="20"/>
              </w:rPr>
              <w:t xml:space="preserve"> </w:t>
            </w:r>
            <w:hyperlink r:id="rId11">
              <w:r w:rsidRPr="13390AA2">
                <w:rPr>
                  <w:color w:val="1155CC"/>
                  <w:sz w:val="20"/>
                  <w:szCs w:val="20"/>
                  <w:u w:val="single"/>
                </w:rPr>
                <w:t>https://www.un.org/africarenewal/magazine/august-2010/visions-independence-then-and-now</w:t>
              </w:r>
            </w:hyperlink>
            <w:r w:rsidRPr="13390AA2">
              <w:rPr>
                <w:sz w:val="20"/>
                <w:szCs w:val="20"/>
              </w:rPr>
              <w:t xml:space="preserve"> </w:t>
            </w:r>
          </w:p>
          <w:p w14:paraId="0970F0A7" w14:textId="77777777" w:rsidR="008C697A" w:rsidRDefault="00F85E01">
            <w:pPr>
              <w:widowControl w:val="0"/>
              <w:spacing w:line="240" w:lineRule="auto"/>
            </w:pPr>
            <w:r>
              <w:t>7</w:t>
            </w:r>
          </w:p>
          <w:p w14:paraId="4CCCED24" w14:textId="4C745768" w:rsidR="008C697A" w:rsidRDefault="00F85E01">
            <w:pPr>
              <w:widowControl w:val="0"/>
              <w:spacing w:line="240" w:lineRule="auto"/>
            </w:pPr>
            <w:r>
              <w:t>b,</w:t>
            </w:r>
            <w:r w:rsidR="3DA7F6F7">
              <w:t xml:space="preserve"> </w:t>
            </w:r>
            <w:r>
              <w:t>d,</w:t>
            </w:r>
          </w:p>
          <w:p w14:paraId="6CB259F0" w14:textId="166AD850" w:rsidR="008C697A" w:rsidRDefault="36999B68">
            <w:pPr>
              <w:widowControl w:val="0"/>
              <w:spacing w:line="240" w:lineRule="auto"/>
            </w:pPr>
            <w:r>
              <w:t>P</w:t>
            </w:r>
            <w:r w:rsidR="5637972A">
              <w:t>ozn: také u této úlohy platí zásady uvedené u 23.1.2</w:t>
            </w:r>
          </w:p>
          <w:p w14:paraId="1131408E" w14:textId="052E1EF0" w:rsidR="008C697A" w:rsidRDefault="1CEAE981">
            <w:pPr>
              <w:widowControl w:val="0"/>
              <w:spacing w:line="240" w:lineRule="auto"/>
            </w:pPr>
            <w:proofErr w:type="spellStart"/>
            <w:r>
              <w:t>Meotdický</w:t>
            </w:r>
            <w:proofErr w:type="spellEnd"/>
            <w:r>
              <w:t xml:space="preserve"> komentář Jaroslava </w:t>
            </w:r>
            <w:proofErr w:type="spellStart"/>
            <w:r>
              <w:t>Najberta</w:t>
            </w:r>
            <w:proofErr w:type="spellEnd"/>
            <w:r>
              <w:t xml:space="preserve">: </w:t>
            </w:r>
            <w:r w:rsidR="451A5D2E">
              <w:t>J</w:t>
            </w:r>
            <w:r w:rsidR="5637972A">
              <w:t xml:space="preserve">á to dělám tak, že neříkám, kolik jich bude správně. </w:t>
            </w:r>
            <w:r w:rsidR="1C2B634E">
              <w:t>V</w:t>
            </w:r>
            <w:r w:rsidR="5637972A">
              <w:t>ždy je minimálně jedna správně. Dávám půl bodu za každou správně zakroužkovanou i nezakroužkovanou odpověď. Zakroužkuješ, co nemáš? Nedostaneš půl bod. Zakroužkuješ špatně? Nedostaneš půl bod. Mám s tím dobré zkušenosti.</w:t>
            </w:r>
          </w:p>
        </w:tc>
      </w:tr>
      <w:tr w:rsidR="008C697A" w14:paraId="19406884" w14:textId="77777777" w:rsidTr="13390AA2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8E08A" w14:textId="12CDC4AA" w:rsidR="008C697A" w:rsidRDefault="5637972A">
            <w:pPr>
              <w:widowControl w:val="0"/>
              <w:spacing w:line="240" w:lineRule="auto"/>
            </w:pPr>
            <w:r>
              <w:lastRenderedPageBreak/>
              <w:t>23.2.2</w:t>
            </w:r>
          </w:p>
        </w:tc>
        <w:tc>
          <w:tcPr>
            <w:tcW w:w="7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AC368" w14:textId="77777777" w:rsidR="008C697A" w:rsidRDefault="00F85E01">
            <w:pPr>
              <w:widowControl w:val="0"/>
              <w:spacing w:line="240" w:lineRule="auto"/>
            </w:pPr>
            <w:r>
              <w:t xml:space="preserve">Zdroj: Antonín Petlach, člen expertní mise československého </w:t>
            </w:r>
            <w:proofErr w:type="spellStart"/>
            <w:r>
              <w:t>Hydroprojektu</w:t>
            </w:r>
            <w:proofErr w:type="spellEnd"/>
            <w:r>
              <w:t xml:space="preserve">, 1961 (rozhovor 2020, revue </w:t>
            </w:r>
            <w:r w:rsidRPr="13390AA2">
              <w:rPr>
                <w:i/>
                <w:iCs/>
              </w:rPr>
              <w:t>Paměť a dějiny</w:t>
            </w:r>
            <w:r>
              <w:t>)</w:t>
            </w:r>
          </w:p>
          <w:p w14:paraId="09D74C3E" w14:textId="77777777" w:rsidR="008C697A" w:rsidRDefault="00F85E01">
            <w:pPr>
              <w:widowControl w:val="0"/>
              <w:spacing w:line="240" w:lineRule="auto"/>
            </w:pPr>
            <w:r>
              <w:t>a, c, d</w:t>
            </w:r>
          </w:p>
          <w:p w14:paraId="2394A9BC" w14:textId="1F7D9DB9" w:rsidR="008C697A" w:rsidRDefault="5637972A">
            <w:pPr>
              <w:widowControl w:val="0"/>
              <w:spacing w:line="240" w:lineRule="auto"/>
            </w:pPr>
            <w:r>
              <w:t>Pozn.: také u této úlohy platí zásady uvedené u 23.1.2</w:t>
            </w:r>
          </w:p>
        </w:tc>
      </w:tr>
      <w:tr w:rsidR="008C697A" w14:paraId="5B7BB2AE" w14:textId="77777777" w:rsidTr="13390AA2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653E9" w14:textId="47D7EAE8" w:rsidR="008C697A" w:rsidRDefault="5637972A">
            <w:pPr>
              <w:widowControl w:val="0"/>
              <w:spacing w:line="240" w:lineRule="auto"/>
            </w:pPr>
            <w:r>
              <w:t>23.3.1</w:t>
            </w:r>
          </w:p>
        </w:tc>
        <w:tc>
          <w:tcPr>
            <w:tcW w:w="7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E082E" w14:textId="77777777" w:rsidR="008C697A" w:rsidRDefault="00F85E01">
            <w:pPr>
              <w:widowControl w:val="0"/>
              <w:spacing w:line="240" w:lineRule="auto"/>
            </w:pPr>
            <w:r>
              <w:t>žlutá barva: nezávislé státy</w:t>
            </w:r>
          </w:p>
          <w:p w14:paraId="268CB430" w14:textId="77777777" w:rsidR="008C697A" w:rsidRDefault="00F85E01">
            <w:pPr>
              <w:widowControl w:val="0"/>
              <w:spacing w:line="240" w:lineRule="auto"/>
            </w:pPr>
            <w:r>
              <w:t>světle zelená barva: francouzské kolonie</w:t>
            </w:r>
          </w:p>
          <w:p w14:paraId="7EE9695B" w14:textId="77777777" w:rsidR="008C697A" w:rsidRDefault="00F85E01">
            <w:pPr>
              <w:widowControl w:val="0"/>
              <w:spacing w:line="240" w:lineRule="auto"/>
            </w:pPr>
            <w:r>
              <w:t>růžová barva: britské kolonie</w:t>
            </w:r>
          </w:p>
        </w:tc>
      </w:tr>
      <w:tr w:rsidR="008C697A" w14:paraId="3FB1AC67" w14:textId="77777777" w:rsidTr="13390AA2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2A955" w14:textId="6B412DFE" w:rsidR="008C697A" w:rsidRDefault="5637972A">
            <w:pPr>
              <w:widowControl w:val="0"/>
              <w:spacing w:line="240" w:lineRule="auto"/>
            </w:pPr>
            <w:r>
              <w:t>23.3.2</w:t>
            </w:r>
          </w:p>
        </w:tc>
        <w:tc>
          <w:tcPr>
            <w:tcW w:w="7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6FFD7" w14:textId="46942A0D" w:rsidR="008C697A" w:rsidRDefault="7E279237">
            <w:pPr>
              <w:widowControl w:val="0"/>
              <w:spacing w:line="240" w:lineRule="auto"/>
            </w:pPr>
            <w:r>
              <w:t>M</w:t>
            </w:r>
            <w:r w:rsidR="5637972A">
              <w:t xml:space="preserve">etodický komentář: žák by měl využít odlišné datace map (1950 a 1970), všimnout si změny barev, využít informaci o </w:t>
            </w:r>
            <w:r w:rsidR="3C999FB7">
              <w:t>„</w:t>
            </w:r>
            <w:r w:rsidR="5637972A">
              <w:t>roku Afriky</w:t>
            </w:r>
            <w:r w:rsidR="1EBA8BF8">
              <w:t>“</w:t>
            </w:r>
            <w:r w:rsidR="5637972A">
              <w:t xml:space="preserve"> (1960) a vyhodnotit, že rozšiřující se žlutá barva označuje zisk nezávislosti. Zkušenost se zdroji 1 nebo 3 v lekci mu umožní identifikovat francouzské (zelená) a britské (růžové) kolonie.</w:t>
            </w:r>
          </w:p>
        </w:tc>
      </w:tr>
      <w:tr w:rsidR="008C697A" w14:paraId="06B465CA" w14:textId="77777777" w:rsidTr="13390AA2"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FC855" w14:textId="759335A9" w:rsidR="008C697A" w:rsidRDefault="5637972A">
            <w:pPr>
              <w:widowControl w:val="0"/>
              <w:spacing w:line="240" w:lineRule="auto"/>
            </w:pPr>
            <w:r>
              <w:t>23.3.3</w:t>
            </w:r>
          </w:p>
        </w:tc>
        <w:tc>
          <w:tcPr>
            <w:tcW w:w="7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52159" w14:textId="77777777" w:rsidR="008C697A" w:rsidRDefault="00F85E01">
            <w:pPr>
              <w:widowControl w:val="0"/>
              <w:spacing w:line="240" w:lineRule="auto"/>
            </w:pPr>
            <w:r>
              <w:t>např.</w:t>
            </w:r>
          </w:p>
          <w:p w14:paraId="6D7D1D35" w14:textId="77777777" w:rsidR="008C697A" w:rsidRDefault="00F85E01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dějepisný atlas, odborná kniha o africké dekolonizaci</w:t>
            </w:r>
          </w:p>
          <w:p w14:paraId="73D67E33" w14:textId="77777777" w:rsidR="008C697A" w:rsidRDefault="00F85E01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konkrétní webová stránka na téma dekolonizace, např. </w:t>
            </w:r>
            <w:hyperlink r:id="rId12">
              <w:r>
                <w:rPr>
                  <w:color w:val="1155CC"/>
                  <w:u w:val="single"/>
                </w:rPr>
                <w:t>https://kids.britannica.com/students/article/British-Decolonization-in-Africa/310389</w:t>
              </w:r>
            </w:hyperlink>
            <w:r>
              <w:t xml:space="preserve"> </w:t>
            </w:r>
          </w:p>
        </w:tc>
      </w:tr>
    </w:tbl>
    <w:p w14:paraId="1F740895" w14:textId="77777777" w:rsidR="008C697A" w:rsidRDefault="008C697A"/>
    <w:sectPr w:rsidR="008C697A">
      <w:headerReference w:type="default" r:id="rId13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D5923" w14:textId="77777777" w:rsidR="003C41EA" w:rsidRDefault="003C41EA" w:rsidP="001C3B28">
      <w:pPr>
        <w:spacing w:line="240" w:lineRule="auto"/>
      </w:pPr>
      <w:r>
        <w:separator/>
      </w:r>
    </w:p>
  </w:endnote>
  <w:endnote w:type="continuationSeparator" w:id="0">
    <w:p w14:paraId="4404BCA9" w14:textId="77777777" w:rsidR="003C41EA" w:rsidRDefault="003C41EA" w:rsidP="001C3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0C652" w14:textId="77777777" w:rsidR="003C41EA" w:rsidRDefault="003C41EA" w:rsidP="001C3B28">
      <w:pPr>
        <w:spacing w:line="240" w:lineRule="auto"/>
      </w:pPr>
      <w:r>
        <w:separator/>
      </w:r>
    </w:p>
  </w:footnote>
  <w:footnote w:type="continuationSeparator" w:id="0">
    <w:p w14:paraId="68DC3E62" w14:textId="77777777" w:rsidR="003C41EA" w:rsidRDefault="003C41EA" w:rsidP="001C3B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DC7F" w14:textId="67E7FBF7" w:rsidR="0017423C" w:rsidRDefault="0017423C" w:rsidP="0017423C">
    <w:pPr>
      <w:pStyle w:val="Zhlav"/>
    </w:pPr>
    <w:r>
      <w:t xml:space="preserve">Blok </w:t>
    </w:r>
    <w:r>
      <w:t>6</w:t>
    </w:r>
    <w:r>
      <w:t>, Lekce 2</w:t>
    </w:r>
    <w:r>
      <w:t>3</w:t>
    </w:r>
    <w:r>
      <w:tab/>
    </w:r>
    <w:r>
      <w:tab/>
    </w:r>
    <w:r w:rsidRPr="0017423C">
      <w:t>Rozpad koloniálních impérií</w:t>
    </w:r>
  </w:p>
  <w:p w14:paraId="70B5F62C" w14:textId="2C97120F" w:rsidR="001C3B28" w:rsidRPr="0017423C" w:rsidRDefault="0017423C" w:rsidP="0017423C">
    <w:pPr>
      <w:pStyle w:val="Zhlav"/>
    </w:pPr>
    <w:r>
      <w:t>Evaluace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6941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045726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8C5CC1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F8592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BAD56A6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1970C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2F34147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2013409453">
    <w:abstractNumId w:val="1"/>
  </w:num>
  <w:num w:numId="2" w16cid:durableId="1257053829">
    <w:abstractNumId w:val="4"/>
  </w:num>
  <w:num w:numId="3" w16cid:durableId="607397428">
    <w:abstractNumId w:val="6"/>
  </w:num>
  <w:num w:numId="4" w16cid:durableId="964577168">
    <w:abstractNumId w:val="3"/>
  </w:num>
  <w:num w:numId="5" w16cid:durableId="1976451101">
    <w:abstractNumId w:val="0"/>
  </w:num>
  <w:num w:numId="6" w16cid:durableId="110132437">
    <w:abstractNumId w:val="5"/>
  </w:num>
  <w:num w:numId="7" w16cid:durableId="1024137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97A"/>
    <w:rsid w:val="000A194A"/>
    <w:rsid w:val="0017423C"/>
    <w:rsid w:val="001C3B28"/>
    <w:rsid w:val="0021256B"/>
    <w:rsid w:val="0026DDBF"/>
    <w:rsid w:val="003066A8"/>
    <w:rsid w:val="003C41EA"/>
    <w:rsid w:val="00451C74"/>
    <w:rsid w:val="007557A2"/>
    <w:rsid w:val="008C697A"/>
    <w:rsid w:val="00BDF2EA"/>
    <w:rsid w:val="00C676B7"/>
    <w:rsid w:val="00E33068"/>
    <w:rsid w:val="00F85E01"/>
    <w:rsid w:val="0124484A"/>
    <w:rsid w:val="021AB65F"/>
    <w:rsid w:val="0322375F"/>
    <w:rsid w:val="0347FCD4"/>
    <w:rsid w:val="03EB355B"/>
    <w:rsid w:val="03FD3788"/>
    <w:rsid w:val="04DF444F"/>
    <w:rsid w:val="0592ADE5"/>
    <w:rsid w:val="05B8B251"/>
    <w:rsid w:val="0651001B"/>
    <w:rsid w:val="068471A2"/>
    <w:rsid w:val="06D73F11"/>
    <w:rsid w:val="071C6F3E"/>
    <w:rsid w:val="073AB913"/>
    <w:rsid w:val="07CDFEBC"/>
    <w:rsid w:val="07DE4DA5"/>
    <w:rsid w:val="07ECD07C"/>
    <w:rsid w:val="07FB144A"/>
    <w:rsid w:val="0867830F"/>
    <w:rsid w:val="0941D79D"/>
    <w:rsid w:val="099965FA"/>
    <w:rsid w:val="09BB7605"/>
    <w:rsid w:val="09DC3961"/>
    <w:rsid w:val="0AC30F19"/>
    <w:rsid w:val="0B3EA72F"/>
    <w:rsid w:val="0B533F2B"/>
    <w:rsid w:val="0BA2622D"/>
    <w:rsid w:val="0BEFE061"/>
    <w:rsid w:val="0BF86047"/>
    <w:rsid w:val="0C8EF173"/>
    <w:rsid w:val="0CBD6237"/>
    <w:rsid w:val="0CBEDC41"/>
    <w:rsid w:val="0CC0419F"/>
    <w:rsid w:val="0E0A0237"/>
    <w:rsid w:val="0E2772AE"/>
    <w:rsid w:val="0E3BA7C0"/>
    <w:rsid w:val="0E5D7A3C"/>
    <w:rsid w:val="0E89131F"/>
    <w:rsid w:val="0EF1790E"/>
    <w:rsid w:val="0FD60632"/>
    <w:rsid w:val="10055A7B"/>
    <w:rsid w:val="10270AF2"/>
    <w:rsid w:val="11785C1B"/>
    <w:rsid w:val="1195FE94"/>
    <w:rsid w:val="11DF0094"/>
    <w:rsid w:val="121FCCD7"/>
    <w:rsid w:val="12431BAB"/>
    <w:rsid w:val="12980685"/>
    <w:rsid w:val="12B6C584"/>
    <w:rsid w:val="12DE6570"/>
    <w:rsid w:val="12FF8F8D"/>
    <w:rsid w:val="132FA5EA"/>
    <w:rsid w:val="13390AA2"/>
    <w:rsid w:val="13BDD8A5"/>
    <w:rsid w:val="13C83CE5"/>
    <w:rsid w:val="13E0E653"/>
    <w:rsid w:val="1490A719"/>
    <w:rsid w:val="14A043A8"/>
    <w:rsid w:val="157D9A4A"/>
    <w:rsid w:val="15BDE288"/>
    <w:rsid w:val="15E66B0C"/>
    <w:rsid w:val="15E9BCD6"/>
    <w:rsid w:val="15FFD3EE"/>
    <w:rsid w:val="1635759F"/>
    <w:rsid w:val="1655E90E"/>
    <w:rsid w:val="167331D3"/>
    <w:rsid w:val="1683D53B"/>
    <w:rsid w:val="1688BE95"/>
    <w:rsid w:val="16D92FE9"/>
    <w:rsid w:val="1745F905"/>
    <w:rsid w:val="17744BDD"/>
    <w:rsid w:val="17760773"/>
    <w:rsid w:val="17C9659F"/>
    <w:rsid w:val="1886127B"/>
    <w:rsid w:val="188C9CD7"/>
    <w:rsid w:val="18933532"/>
    <w:rsid w:val="18A9F391"/>
    <w:rsid w:val="18D62F31"/>
    <w:rsid w:val="195D7793"/>
    <w:rsid w:val="19836E00"/>
    <w:rsid w:val="19BCCBD3"/>
    <w:rsid w:val="1A0471DE"/>
    <w:rsid w:val="1A5563A6"/>
    <w:rsid w:val="1A5A6241"/>
    <w:rsid w:val="1B2E79D6"/>
    <w:rsid w:val="1B6883AA"/>
    <w:rsid w:val="1B7A39C8"/>
    <w:rsid w:val="1BF7EEB5"/>
    <w:rsid w:val="1C2B634E"/>
    <w:rsid w:val="1C69224D"/>
    <w:rsid w:val="1CA5449A"/>
    <w:rsid w:val="1CAC3F34"/>
    <w:rsid w:val="1CD300D2"/>
    <w:rsid w:val="1CDD2FA7"/>
    <w:rsid w:val="1CDF9F45"/>
    <w:rsid w:val="1CEAE981"/>
    <w:rsid w:val="1E27D1C1"/>
    <w:rsid w:val="1E99652A"/>
    <w:rsid w:val="1EA6F856"/>
    <w:rsid w:val="1EBA8BF8"/>
    <w:rsid w:val="1EBB7489"/>
    <w:rsid w:val="1ED7F21B"/>
    <w:rsid w:val="1FAB2AB7"/>
    <w:rsid w:val="1FC68841"/>
    <w:rsid w:val="1FFA1260"/>
    <w:rsid w:val="209E1DCB"/>
    <w:rsid w:val="20E959F7"/>
    <w:rsid w:val="217187E8"/>
    <w:rsid w:val="21C2C4C9"/>
    <w:rsid w:val="22735F9A"/>
    <w:rsid w:val="22A9516A"/>
    <w:rsid w:val="22C02A07"/>
    <w:rsid w:val="22DCEFB5"/>
    <w:rsid w:val="22F42328"/>
    <w:rsid w:val="2347E58C"/>
    <w:rsid w:val="23EEF1EC"/>
    <w:rsid w:val="2405D064"/>
    <w:rsid w:val="24109344"/>
    <w:rsid w:val="24824C4C"/>
    <w:rsid w:val="2513FF65"/>
    <w:rsid w:val="255BB940"/>
    <w:rsid w:val="25B51017"/>
    <w:rsid w:val="25BDC514"/>
    <w:rsid w:val="26B45DC6"/>
    <w:rsid w:val="271242CB"/>
    <w:rsid w:val="278DA418"/>
    <w:rsid w:val="27F428D7"/>
    <w:rsid w:val="281F2E1B"/>
    <w:rsid w:val="28B6E263"/>
    <w:rsid w:val="296AC0D0"/>
    <w:rsid w:val="2975F5C2"/>
    <w:rsid w:val="29F2F786"/>
    <w:rsid w:val="29FA0AE2"/>
    <w:rsid w:val="2A3732DF"/>
    <w:rsid w:val="2ADD7438"/>
    <w:rsid w:val="2B16F201"/>
    <w:rsid w:val="2B56CEDD"/>
    <w:rsid w:val="2B637DA7"/>
    <w:rsid w:val="2BC4C188"/>
    <w:rsid w:val="2BEE7574"/>
    <w:rsid w:val="2C8D26C2"/>
    <w:rsid w:val="2CB47119"/>
    <w:rsid w:val="2CB56F05"/>
    <w:rsid w:val="2D4A4C6E"/>
    <w:rsid w:val="2DCC2963"/>
    <w:rsid w:val="2E1BD1DD"/>
    <w:rsid w:val="2E60A17F"/>
    <w:rsid w:val="2EBF3242"/>
    <w:rsid w:val="2F26DA46"/>
    <w:rsid w:val="2F8CEA71"/>
    <w:rsid w:val="3043A03A"/>
    <w:rsid w:val="30C4E4F2"/>
    <w:rsid w:val="30FA7A87"/>
    <w:rsid w:val="31A7B7DD"/>
    <w:rsid w:val="31C7303C"/>
    <w:rsid w:val="31E90786"/>
    <w:rsid w:val="3221C6A6"/>
    <w:rsid w:val="3232A09D"/>
    <w:rsid w:val="3237EA8A"/>
    <w:rsid w:val="32F06AA1"/>
    <w:rsid w:val="33527D66"/>
    <w:rsid w:val="33A7A2B0"/>
    <w:rsid w:val="34154AAD"/>
    <w:rsid w:val="34BA1769"/>
    <w:rsid w:val="352DC39A"/>
    <w:rsid w:val="352FFB66"/>
    <w:rsid w:val="357B048E"/>
    <w:rsid w:val="357EF99F"/>
    <w:rsid w:val="358C613D"/>
    <w:rsid w:val="35E443A1"/>
    <w:rsid w:val="3617BA23"/>
    <w:rsid w:val="36999B68"/>
    <w:rsid w:val="3716D4EF"/>
    <w:rsid w:val="37A45953"/>
    <w:rsid w:val="37CB6BC8"/>
    <w:rsid w:val="37F87A52"/>
    <w:rsid w:val="3802AA5C"/>
    <w:rsid w:val="382CB4AE"/>
    <w:rsid w:val="383521B5"/>
    <w:rsid w:val="39A8968D"/>
    <w:rsid w:val="39CC17D3"/>
    <w:rsid w:val="3A89EDB7"/>
    <w:rsid w:val="3A9E5C04"/>
    <w:rsid w:val="3AA3AB58"/>
    <w:rsid w:val="3ABC01B9"/>
    <w:rsid w:val="3AC65057"/>
    <w:rsid w:val="3BC9B35E"/>
    <w:rsid w:val="3C05CD72"/>
    <w:rsid w:val="3C3D9025"/>
    <w:rsid w:val="3C70FA1B"/>
    <w:rsid w:val="3C8DAA43"/>
    <w:rsid w:val="3C999FB7"/>
    <w:rsid w:val="3C9C3652"/>
    <w:rsid w:val="3D79F8F3"/>
    <w:rsid w:val="3D7FAD3F"/>
    <w:rsid w:val="3D8224E3"/>
    <w:rsid w:val="3DA7F6F7"/>
    <w:rsid w:val="3DADD00A"/>
    <w:rsid w:val="3DBB4D69"/>
    <w:rsid w:val="3DC72144"/>
    <w:rsid w:val="3DCFC5A3"/>
    <w:rsid w:val="3E31398A"/>
    <w:rsid w:val="3E36AAEE"/>
    <w:rsid w:val="3ECEEC75"/>
    <w:rsid w:val="3F46F291"/>
    <w:rsid w:val="4017D811"/>
    <w:rsid w:val="403AE120"/>
    <w:rsid w:val="404727E0"/>
    <w:rsid w:val="41002DAD"/>
    <w:rsid w:val="41017F34"/>
    <w:rsid w:val="416621D3"/>
    <w:rsid w:val="41CF1CA1"/>
    <w:rsid w:val="420CFC92"/>
    <w:rsid w:val="4255C0B1"/>
    <w:rsid w:val="42732136"/>
    <w:rsid w:val="4316D48D"/>
    <w:rsid w:val="4368A130"/>
    <w:rsid w:val="4492C1DE"/>
    <w:rsid w:val="449C7F53"/>
    <w:rsid w:val="44A774CA"/>
    <w:rsid w:val="451A5D2E"/>
    <w:rsid w:val="474F4862"/>
    <w:rsid w:val="475554DC"/>
    <w:rsid w:val="47688F67"/>
    <w:rsid w:val="478D1853"/>
    <w:rsid w:val="47EF60D4"/>
    <w:rsid w:val="482EC7F8"/>
    <w:rsid w:val="4866B1F5"/>
    <w:rsid w:val="487392F6"/>
    <w:rsid w:val="48754C45"/>
    <w:rsid w:val="489E53F1"/>
    <w:rsid w:val="48A342A0"/>
    <w:rsid w:val="48BB909E"/>
    <w:rsid w:val="48E2BE38"/>
    <w:rsid w:val="48EB18C3"/>
    <w:rsid w:val="4930756D"/>
    <w:rsid w:val="494EE9B5"/>
    <w:rsid w:val="496DAF73"/>
    <w:rsid w:val="49AFFCC6"/>
    <w:rsid w:val="4A99383D"/>
    <w:rsid w:val="4B198DD6"/>
    <w:rsid w:val="4B5DB334"/>
    <w:rsid w:val="4BB97352"/>
    <w:rsid w:val="4BF0F37D"/>
    <w:rsid w:val="4CBC9ADA"/>
    <w:rsid w:val="4CCF8B30"/>
    <w:rsid w:val="4CDB0472"/>
    <w:rsid w:val="4D0D6813"/>
    <w:rsid w:val="4D683D24"/>
    <w:rsid w:val="4D81079E"/>
    <w:rsid w:val="4D892B04"/>
    <w:rsid w:val="4DA059AD"/>
    <w:rsid w:val="4DCA3814"/>
    <w:rsid w:val="4E53D940"/>
    <w:rsid w:val="4E68EC9E"/>
    <w:rsid w:val="4F34DC13"/>
    <w:rsid w:val="4F62AA40"/>
    <w:rsid w:val="4FA820BF"/>
    <w:rsid w:val="5071C3DA"/>
    <w:rsid w:val="507C7A62"/>
    <w:rsid w:val="50DAFBD1"/>
    <w:rsid w:val="50FAAB01"/>
    <w:rsid w:val="520D943B"/>
    <w:rsid w:val="5255AD20"/>
    <w:rsid w:val="52BF90A2"/>
    <w:rsid w:val="530FBD41"/>
    <w:rsid w:val="550F4E24"/>
    <w:rsid w:val="5529384E"/>
    <w:rsid w:val="55AD6A70"/>
    <w:rsid w:val="5610543A"/>
    <w:rsid w:val="5637972A"/>
    <w:rsid w:val="567D6023"/>
    <w:rsid w:val="56C36B38"/>
    <w:rsid w:val="56C90CEC"/>
    <w:rsid w:val="56E85B8D"/>
    <w:rsid w:val="578EE78C"/>
    <w:rsid w:val="578FBABE"/>
    <w:rsid w:val="5798A01D"/>
    <w:rsid w:val="57AE8965"/>
    <w:rsid w:val="5831772A"/>
    <w:rsid w:val="5838612D"/>
    <w:rsid w:val="5857DF3D"/>
    <w:rsid w:val="5884C345"/>
    <w:rsid w:val="5890534D"/>
    <w:rsid w:val="58939972"/>
    <w:rsid w:val="58BD9C7D"/>
    <w:rsid w:val="58C205FA"/>
    <w:rsid w:val="58FDF2CB"/>
    <w:rsid w:val="598F34B8"/>
    <w:rsid w:val="59B4E0BF"/>
    <w:rsid w:val="59BAE464"/>
    <w:rsid w:val="5A231B68"/>
    <w:rsid w:val="5A7B57EB"/>
    <w:rsid w:val="5A9D2B96"/>
    <w:rsid w:val="5AE62A27"/>
    <w:rsid w:val="5B9CB660"/>
    <w:rsid w:val="5B9F99AA"/>
    <w:rsid w:val="5C238344"/>
    <w:rsid w:val="5D54A798"/>
    <w:rsid w:val="5D69E169"/>
    <w:rsid w:val="5DCDC84E"/>
    <w:rsid w:val="5DD36517"/>
    <w:rsid w:val="5DE71979"/>
    <w:rsid w:val="5E89C819"/>
    <w:rsid w:val="5F01852C"/>
    <w:rsid w:val="6006C852"/>
    <w:rsid w:val="602097AD"/>
    <w:rsid w:val="604F7143"/>
    <w:rsid w:val="6066096E"/>
    <w:rsid w:val="60AAB2B8"/>
    <w:rsid w:val="60C3C508"/>
    <w:rsid w:val="61650F38"/>
    <w:rsid w:val="61B7BAC9"/>
    <w:rsid w:val="61E59A5F"/>
    <w:rsid w:val="6200300D"/>
    <w:rsid w:val="627581AC"/>
    <w:rsid w:val="62798DBA"/>
    <w:rsid w:val="62C27822"/>
    <w:rsid w:val="62C40E93"/>
    <w:rsid w:val="62D1ACC0"/>
    <w:rsid w:val="6320AE9D"/>
    <w:rsid w:val="6358D97D"/>
    <w:rsid w:val="637CA452"/>
    <w:rsid w:val="63BAE2BF"/>
    <w:rsid w:val="64A4D984"/>
    <w:rsid w:val="64DF4224"/>
    <w:rsid w:val="64EEAC4E"/>
    <w:rsid w:val="6568BB0C"/>
    <w:rsid w:val="658CCE30"/>
    <w:rsid w:val="65C22EE7"/>
    <w:rsid w:val="65CA3278"/>
    <w:rsid w:val="65E6B89E"/>
    <w:rsid w:val="665113F8"/>
    <w:rsid w:val="679A1F0B"/>
    <w:rsid w:val="67D94C2C"/>
    <w:rsid w:val="67ECE459"/>
    <w:rsid w:val="685B7FC6"/>
    <w:rsid w:val="68847C1A"/>
    <w:rsid w:val="688E20A5"/>
    <w:rsid w:val="696B947C"/>
    <w:rsid w:val="6989DEFB"/>
    <w:rsid w:val="6A44C508"/>
    <w:rsid w:val="6A4EE798"/>
    <w:rsid w:val="6A799B6E"/>
    <w:rsid w:val="6A81DB39"/>
    <w:rsid w:val="6AC73770"/>
    <w:rsid w:val="6B2330C2"/>
    <w:rsid w:val="6B61E313"/>
    <w:rsid w:val="6BD35494"/>
    <w:rsid w:val="6BE7DF7A"/>
    <w:rsid w:val="6C2E2B44"/>
    <w:rsid w:val="6C497470"/>
    <w:rsid w:val="6C9D7CE2"/>
    <w:rsid w:val="6CA1EB77"/>
    <w:rsid w:val="6CA7F890"/>
    <w:rsid w:val="6CB981AF"/>
    <w:rsid w:val="6D694BBF"/>
    <w:rsid w:val="6E204B64"/>
    <w:rsid w:val="6E290CD0"/>
    <w:rsid w:val="6E2FBFD3"/>
    <w:rsid w:val="6EECA77F"/>
    <w:rsid w:val="6F0166A7"/>
    <w:rsid w:val="6F0C28B0"/>
    <w:rsid w:val="6F671AD4"/>
    <w:rsid w:val="70A5AECA"/>
    <w:rsid w:val="70CC26AD"/>
    <w:rsid w:val="7111F16A"/>
    <w:rsid w:val="713CCB8B"/>
    <w:rsid w:val="71C37797"/>
    <w:rsid w:val="725706B6"/>
    <w:rsid w:val="725BED7A"/>
    <w:rsid w:val="7261AEBC"/>
    <w:rsid w:val="729D82CE"/>
    <w:rsid w:val="7319A6C6"/>
    <w:rsid w:val="749A71C5"/>
    <w:rsid w:val="75AEC041"/>
    <w:rsid w:val="75F70A52"/>
    <w:rsid w:val="76924692"/>
    <w:rsid w:val="76AF1D01"/>
    <w:rsid w:val="76FC121B"/>
    <w:rsid w:val="77083F9A"/>
    <w:rsid w:val="774936DB"/>
    <w:rsid w:val="776C817F"/>
    <w:rsid w:val="77AEDBF0"/>
    <w:rsid w:val="77CB98AE"/>
    <w:rsid w:val="7811B344"/>
    <w:rsid w:val="78309285"/>
    <w:rsid w:val="78960B01"/>
    <w:rsid w:val="78F6CB16"/>
    <w:rsid w:val="79309C3E"/>
    <w:rsid w:val="79883BDA"/>
    <w:rsid w:val="79AFF298"/>
    <w:rsid w:val="7A2B4F9D"/>
    <w:rsid w:val="7A47631D"/>
    <w:rsid w:val="7B0E4D73"/>
    <w:rsid w:val="7BD35B6D"/>
    <w:rsid w:val="7C205F8C"/>
    <w:rsid w:val="7CF1ABEF"/>
    <w:rsid w:val="7DC4DF64"/>
    <w:rsid w:val="7E197718"/>
    <w:rsid w:val="7E279237"/>
    <w:rsid w:val="7EF5E929"/>
    <w:rsid w:val="7F986B72"/>
    <w:rsid w:val="7FA2421D"/>
    <w:rsid w:val="7FA4B1A0"/>
    <w:rsid w:val="7FA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A308"/>
  <w15:docId w15:val="{F534571B-E42B-4399-BCA7-BAAB4C6B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C3B2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B28"/>
  </w:style>
  <w:style w:type="paragraph" w:styleId="Zpat">
    <w:name w:val="footer"/>
    <w:basedOn w:val="Normln"/>
    <w:link w:val="ZpatChar"/>
    <w:uiPriority w:val="99"/>
    <w:unhideWhenUsed/>
    <w:rsid w:val="001C3B2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ids.britannica.com/students/article/British-Decolonization-in-Africa/31038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.org/africarenewal/magazine/august-2010/visions-independence-then-and-now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43fc90-4161-4e7d-b4c6-68a6b483b2a0">
      <Terms xmlns="http://schemas.microsoft.com/office/infopath/2007/PartnerControls"/>
    </lcf76f155ced4ddcb4097134ff3c332f>
    <TaxCatchAll xmlns="86c2d9ae-fe3f-4203-8b23-08bf561d6e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1D661DDBD52142A1237BCFB8B7F342" ma:contentTypeVersion="18" ma:contentTypeDescription="Vytvoří nový dokument" ma:contentTypeScope="" ma:versionID="6d699ea22270c65777e083d38dd06457">
  <xsd:schema xmlns:xsd="http://www.w3.org/2001/XMLSchema" xmlns:xs="http://www.w3.org/2001/XMLSchema" xmlns:p="http://schemas.microsoft.com/office/2006/metadata/properties" xmlns:ns2="86c2d9ae-fe3f-4203-8b23-08bf561d6ecd" xmlns:ns3="c243fc90-4161-4e7d-b4c6-68a6b483b2a0" targetNamespace="http://schemas.microsoft.com/office/2006/metadata/properties" ma:root="true" ma:fieldsID="b41739892605f534007c93db7a30a5d5" ns2:_="" ns3:_="">
    <xsd:import namespace="86c2d9ae-fe3f-4203-8b23-08bf561d6ecd"/>
    <xsd:import namespace="c243fc90-4161-4e7d-b4c6-68a6b483b2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2d9ae-fe3f-4203-8b23-08bf561d6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b896e6-c475-49eb-9770-0a318e9c3612}" ma:internalName="TaxCatchAll" ma:showField="CatchAllData" ma:web="86c2d9ae-fe3f-4203-8b23-08bf561d6e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3fc90-4161-4e7d-b4c6-68a6b483b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8942ED-D9C3-4445-B892-6E2B033A515E}">
  <ds:schemaRefs>
    <ds:schemaRef ds:uri="http://schemas.microsoft.com/office/2006/metadata/properties"/>
    <ds:schemaRef ds:uri="http://schemas.microsoft.com/office/infopath/2007/PartnerControls"/>
    <ds:schemaRef ds:uri="c243fc90-4161-4e7d-b4c6-68a6b483b2a0"/>
    <ds:schemaRef ds:uri="86c2d9ae-fe3f-4203-8b23-08bf561d6ecd"/>
  </ds:schemaRefs>
</ds:datastoreItem>
</file>

<file path=customXml/itemProps2.xml><?xml version="1.0" encoding="utf-8"?>
<ds:datastoreItem xmlns:ds="http://schemas.openxmlformats.org/officeDocument/2006/customXml" ds:itemID="{78E36191-C6A1-45DB-B66C-7CBE8D256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2d9ae-fe3f-4203-8b23-08bf561d6ecd"/>
    <ds:schemaRef ds:uri="c243fc90-4161-4e7d-b4c6-68a6b483b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00E7A-9103-4C5E-B523-6CDA8AF5D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955</Words>
  <Characters>5640</Characters>
  <Application>Microsoft Office Word</Application>
  <DocSecurity>0</DocSecurity>
  <Lines>47</Lines>
  <Paragraphs>13</Paragraphs>
  <ScaleCrop>false</ScaleCrop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Váňa</dc:creator>
  <cp:lastModifiedBy>Martin Váňa</cp:lastModifiedBy>
  <cp:revision>2</cp:revision>
  <dcterms:created xsi:type="dcterms:W3CDTF">2023-11-28T15:29:00Z</dcterms:created>
  <dcterms:modified xsi:type="dcterms:W3CDTF">2023-11-28T15:29:00Z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0x010100CF1D661DDBD52142A1237BCFB8B7F342</vt:lpwstr>
  </property>
  <property fmtid="{D5CDD505-2E9C-101B-9397-08002B2CF9AE}" pid="3" name="MediaServiceImageTags">
    <vt:lpwstr/>
  </property>
</Properties>
</file>