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124E" w14:textId="77777777" w:rsidR="00A4537B" w:rsidRDefault="00A4537B" w:rsidP="00A4537B">
      <w:pPr>
        <w:spacing w:after="119"/>
        <w:jc w:val="center"/>
        <w:rPr>
          <w:b/>
          <w:color w:val="181717"/>
          <w:sz w:val="36"/>
          <w:u w:val="single"/>
        </w:rPr>
      </w:pPr>
      <w:r>
        <w:rPr>
          <w:b/>
          <w:color w:val="181717"/>
          <w:sz w:val="36"/>
          <w:u w:val="single"/>
        </w:rPr>
        <w:t>CO PSALY ŠKOLNÍ UČEBNICE O HUSITECH?</w:t>
      </w:r>
    </w:p>
    <w:p w14:paraId="513B1CDE" w14:textId="77777777" w:rsidR="00A4537B" w:rsidRPr="004C7E1B" w:rsidRDefault="00A4537B" w:rsidP="00A4537B">
      <w:pPr>
        <w:rPr>
          <w:b/>
          <w:sz w:val="24"/>
        </w:rPr>
      </w:pPr>
      <w:r w:rsidRPr="004C7E1B">
        <w:rPr>
          <w:b/>
          <w:sz w:val="24"/>
        </w:rPr>
        <w:t>Na počátku 20. století</w:t>
      </w:r>
    </w:p>
    <w:p w14:paraId="63CF4504" w14:textId="77777777" w:rsidR="00A4537B" w:rsidRDefault="00A4537B" w:rsidP="00A4537B">
      <w:pPr>
        <w:jc w:val="both"/>
      </w:pPr>
      <w:r>
        <w:t>Úryvek z pera prof. Josefa Pekaře byl otištěn v předvečer první světové války, v dubnu 1914. Už od konce 19. století přitom v českých zemích (ostatně jako v celé Evropě) rostlo národnostní napětí. Češi požadovali uznání svého historického státoprávního postavení a vyšší míru nezávislosti, Němci zase usilovali o zachování svého postavení a vlivu v rámci Rakousko-Uherska. Vzájemná rivalita se krom politiky projevovala též v kultuře, spolkovém životě či podnikání – a samozřejmě i ve školství.</w:t>
      </w:r>
    </w:p>
    <w:p w14:paraId="21979886" w14:textId="77777777" w:rsidR="00A4537B" w:rsidRDefault="00A4537B" w:rsidP="00A4537B">
      <w:pPr>
        <w:jc w:val="both"/>
        <w:rPr>
          <w:i/>
        </w:rPr>
      </w:pPr>
      <w:r>
        <w:rPr>
          <w:i/>
        </w:rPr>
        <w:t>„</w:t>
      </w:r>
      <w:r w:rsidRPr="008B520F">
        <w:rPr>
          <w:i/>
        </w:rPr>
        <w:t xml:space="preserve">V proměnách, jež ve vnitřních poměrech země způsobila husitská revoluce, ukázalo se, jak mocné hospodářské a sociální vlivy spolu působily ve vývoj hnutí. V popředí bojovného husitství stojí od počátku města. V nich skoro veskrze šlo o zápas české vrstvy řemeslnické proti bohatším starousedlým rodinám německým, majícím v rukou správu obcí; tyto rodiny byly za revoluce z měst vypuzeny nebo pobity a statky jejich rozdány Čechům. </w:t>
      </w:r>
      <w:r>
        <w:rPr>
          <w:i/>
        </w:rPr>
        <w:t>…</w:t>
      </w:r>
      <w:r w:rsidRPr="008B520F">
        <w:rPr>
          <w:i/>
        </w:rPr>
        <w:t xml:space="preserve"> Vedle měšťanů byla to zejména drobná vladycká šlechta, jež zasloužila se o vojenskou sílu odboje. Členové její, jichž rozrodem přibývalo, rozsahem statků svých nepříliš vzdáleni sedlákům, ocitali se hospodářsky v</w:t>
      </w:r>
      <w:r>
        <w:rPr>
          <w:i/>
        </w:rPr>
        <w:t> </w:t>
      </w:r>
      <w:r w:rsidRPr="008B520F">
        <w:rPr>
          <w:i/>
        </w:rPr>
        <w:t>tísni</w:t>
      </w:r>
      <w:r>
        <w:rPr>
          <w:i/>
        </w:rPr>
        <w:t>…</w:t>
      </w:r>
      <w:r w:rsidRPr="008B520F">
        <w:rPr>
          <w:i/>
        </w:rPr>
        <w:t>revoluce dala jim naději na hojnou kořist doma, zejména v rozsáhlém statku církevním. Statek tento a s ním i statek královský byl v těchto letech rozchvácen skoro úplně; o kořist dělila se šlechta drobná i vyšší a města</w:t>
      </w:r>
      <w:r>
        <w:rPr>
          <w:i/>
        </w:rPr>
        <w:t>.“</w:t>
      </w:r>
    </w:p>
    <w:p w14:paraId="4FC32000" w14:textId="77777777" w:rsidR="00A4537B" w:rsidRPr="003F3D24" w:rsidRDefault="00A4537B" w:rsidP="00A4537B">
      <w:pPr>
        <w:jc w:val="right"/>
        <w:rPr>
          <w:sz w:val="20"/>
        </w:rPr>
      </w:pPr>
      <w:r w:rsidRPr="003F3D24">
        <w:rPr>
          <w:sz w:val="20"/>
        </w:rPr>
        <w:t>Zdroj: Josef PEKAŘ – Dějiny naší říše, se zvláštním zřetelem ke královstvím v říšské radě zastoupeným.</w:t>
      </w:r>
      <w:r>
        <w:rPr>
          <w:sz w:val="20"/>
        </w:rPr>
        <w:t xml:space="preserve"> Historický klub, Praha </w:t>
      </w:r>
      <w:r w:rsidRPr="003F3D24">
        <w:rPr>
          <w:sz w:val="20"/>
        </w:rPr>
        <w:t>1914, s. 63-64. (kráceno)</w:t>
      </w:r>
    </w:p>
    <w:p w14:paraId="0BAF793E" w14:textId="77777777" w:rsidR="00A4537B" w:rsidRDefault="00A4537B" w:rsidP="00A4537B">
      <w:pPr>
        <w:pStyle w:val="Odstavecseseznamem"/>
        <w:numPr>
          <w:ilvl w:val="0"/>
          <w:numId w:val="2"/>
        </w:numPr>
      </w:pPr>
      <w:r>
        <w:t>Jakým skupinám obyvatel připisuje Pekař dějinotvornou úlohu, kdo byl dle něj hybatelem historických událostí?</w:t>
      </w:r>
    </w:p>
    <w:p w14:paraId="65CAFFCF" w14:textId="77777777" w:rsidR="00A4537B" w:rsidRDefault="00A4537B" w:rsidP="00A4537B">
      <w:pPr>
        <w:pStyle w:val="Odstavecseseznamem"/>
        <w:ind w:left="360"/>
      </w:pPr>
    </w:p>
    <w:p w14:paraId="37C4A28F" w14:textId="77777777" w:rsidR="00A4537B" w:rsidRDefault="00A4537B" w:rsidP="00A4537B">
      <w:pPr>
        <w:pStyle w:val="Odstavecseseznamem"/>
        <w:ind w:left="360"/>
      </w:pPr>
    </w:p>
    <w:p w14:paraId="0D9D132E" w14:textId="77777777" w:rsidR="00A4537B" w:rsidRDefault="00A4537B" w:rsidP="00A4537B">
      <w:pPr>
        <w:pStyle w:val="Odstavecseseznamem"/>
        <w:ind w:left="360"/>
      </w:pPr>
    </w:p>
    <w:p w14:paraId="5DF58D46" w14:textId="77777777" w:rsidR="00A4537B" w:rsidRDefault="00A4537B" w:rsidP="00A4537B">
      <w:pPr>
        <w:pStyle w:val="Odstavecseseznamem"/>
        <w:numPr>
          <w:ilvl w:val="0"/>
          <w:numId w:val="2"/>
        </w:numPr>
        <w:pBdr>
          <w:bottom w:val="single" w:sz="12" w:space="1" w:color="auto"/>
        </w:pBdr>
      </w:pPr>
      <w:r>
        <w:t>Jak Pekařův výklad husitství koresponduje s výše uvedenou charakteristikou doby, v níž text vznikl?</w:t>
      </w:r>
    </w:p>
    <w:p w14:paraId="30398DCC" w14:textId="77777777" w:rsidR="00A4537B" w:rsidRDefault="00A4537B" w:rsidP="00A4537B">
      <w:pPr>
        <w:pBdr>
          <w:bottom w:val="single" w:sz="12" w:space="1" w:color="auto"/>
        </w:pBdr>
      </w:pPr>
    </w:p>
    <w:p w14:paraId="2B019D02" w14:textId="77777777" w:rsidR="00A4537B" w:rsidRDefault="00A4537B" w:rsidP="00A4537B">
      <w:pPr>
        <w:pBdr>
          <w:bottom w:val="single" w:sz="12" w:space="1" w:color="auto"/>
        </w:pBdr>
      </w:pPr>
    </w:p>
    <w:p w14:paraId="77F11DA8" w14:textId="77777777" w:rsidR="00A4537B" w:rsidRPr="004C7E1B" w:rsidRDefault="00A4537B" w:rsidP="00A4537B">
      <w:pPr>
        <w:rPr>
          <w:b/>
          <w:sz w:val="24"/>
        </w:rPr>
      </w:pPr>
      <w:r>
        <w:rPr>
          <w:b/>
          <w:sz w:val="24"/>
        </w:rPr>
        <w:t>V 50. letech</w:t>
      </w:r>
    </w:p>
    <w:p w14:paraId="780B9E41" w14:textId="77777777" w:rsidR="00A4537B" w:rsidRDefault="00A4537B" w:rsidP="00A4537B">
      <w:pPr>
        <w:jc w:val="both"/>
      </w:pPr>
      <w:r>
        <w:t>Po komunistickém převratu v únoru 1948 byly učebnice přepisovány v duchu nově nastolené ideologie spravedlivého vítězství dělníků a rolníků nad svými dřívějšími utiskovateli, na čemž měl lví podíl ministr školství a historik prof. Zdeněk Nejedlý. Mezi řádky se promítala i živá paměť na hrůzy druhé světové války.</w:t>
      </w:r>
    </w:p>
    <w:p w14:paraId="70C316ED" w14:textId="77777777" w:rsidR="00A4537B" w:rsidRPr="008B520F" w:rsidRDefault="00A4537B" w:rsidP="00A4537B">
      <w:pPr>
        <w:jc w:val="both"/>
        <w:rPr>
          <w:i/>
        </w:rPr>
      </w:pPr>
      <w:r>
        <w:rPr>
          <w:i/>
        </w:rPr>
        <w:t>„</w:t>
      </w:r>
      <w:r w:rsidRPr="008B520F">
        <w:rPr>
          <w:i/>
        </w:rPr>
        <w:t>V husitském revolučním hnutí poprvé povstal všechen náš lid proti feudálům. V celém světě nebylo do té doby mocnějšího a rozsáhlejšího hnutí. Spojený venkovský lid a městská chudina stály téměř rok v čele celého hnutí a pokusily se vytvořit zcela novou společnost bez pánů a poddaných. Církev pozbyla svého bohatství a musila ustoupit šlechtě a hlavně měšťanstvu také v politickém životě. Měšťanstvo zradilo chudinu a venkovský lid a s</w:t>
      </w:r>
      <w:r>
        <w:rPr>
          <w:i/>
        </w:rPr>
        <w:t xml:space="preserve">pojilo se se světskými feudály. … </w:t>
      </w:r>
      <w:r w:rsidRPr="008B520F">
        <w:rPr>
          <w:i/>
        </w:rPr>
        <w:t xml:space="preserve">V úspěšných bojích proti křižákům se poprvé v našich dějinách spojil lid z různých krajů Čech za společným cílem a tím se utužilo i vědomí, že všichni náleží k jednomu národu. Husité hájili proti křižákům nejen revoluční zásady, ale i svou vlast </w:t>
      </w:r>
      <w:r w:rsidRPr="008B520F">
        <w:rPr>
          <w:i/>
        </w:rPr>
        <w:lastRenderedPageBreak/>
        <w:t>a celou bohatou kulturu, která byla vytvořena předcházejícími generacemi. Český živel v husitské době zatlačil německé obyvatelstvo do mizivé menšiny. Čeština se stala řečí úřední, vládnoucí a pronikala i do ciziny jako řeč diplomatická.</w:t>
      </w:r>
      <w:r>
        <w:rPr>
          <w:i/>
        </w:rPr>
        <w:t>“</w:t>
      </w:r>
    </w:p>
    <w:p w14:paraId="075370EC" w14:textId="77777777" w:rsidR="00A4537B" w:rsidRPr="003F3D24" w:rsidRDefault="00A4537B" w:rsidP="00A4537B">
      <w:pPr>
        <w:jc w:val="right"/>
        <w:rPr>
          <w:sz w:val="20"/>
        </w:rPr>
      </w:pPr>
      <w:r w:rsidRPr="003F3D24">
        <w:rPr>
          <w:sz w:val="20"/>
        </w:rPr>
        <w:t>Zdroj: Miloslav TRAPL, Vratislav ČAPEK – Dějepis pro devátý ročník základní devítileté školy. SPN, Praha 1959, s. 40. (kráceno)</w:t>
      </w:r>
    </w:p>
    <w:p w14:paraId="271FB3BA" w14:textId="77777777" w:rsidR="00A4537B" w:rsidRDefault="00A4537B" w:rsidP="00A4537B">
      <w:pPr>
        <w:pStyle w:val="Odstavecseseznamem"/>
        <w:numPr>
          <w:ilvl w:val="0"/>
          <w:numId w:val="3"/>
        </w:numPr>
        <w:jc w:val="both"/>
      </w:pPr>
      <w:r>
        <w:t>Čím se ve srovnání s prvním textem socialistická učebnice odlišuje?</w:t>
      </w:r>
    </w:p>
    <w:p w14:paraId="063E9D92" w14:textId="77777777" w:rsidR="00A4537B" w:rsidRDefault="00A4537B" w:rsidP="00A4537B">
      <w:pPr>
        <w:pStyle w:val="Odstavecseseznamem"/>
        <w:ind w:left="360"/>
        <w:jc w:val="both"/>
      </w:pPr>
    </w:p>
    <w:p w14:paraId="2B2FA9F4" w14:textId="77777777" w:rsidR="00A4537B" w:rsidRDefault="00A4537B" w:rsidP="00A4537B">
      <w:pPr>
        <w:pStyle w:val="Odstavecseseznamem"/>
        <w:ind w:left="360"/>
        <w:jc w:val="both"/>
      </w:pPr>
    </w:p>
    <w:p w14:paraId="5E97CD28" w14:textId="77777777" w:rsidR="00A4537B" w:rsidRDefault="00A4537B" w:rsidP="00A4537B">
      <w:pPr>
        <w:pStyle w:val="Odstavecseseznamem"/>
        <w:ind w:left="360"/>
        <w:jc w:val="both"/>
      </w:pPr>
    </w:p>
    <w:p w14:paraId="00A6575E" w14:textId="77777777" w:rsidR="00A4537B" w:rsidRPr="00FF268D" w:rsidRDefault="00A4537B" w:rsidP="00A4537B">
      <w:pPr>
        <w:pStyle w:val="Odstavecseseznamem"/>
        <w:numPr>
          <w:ilvl w:val="0"/>
          <w:numId w:val="3"/>
        </w:numPr>
        <w:jc w:val="both"/>
      </w:pPr>
      <w:r>
        <w:t>Které skupiny jsou v úryvku líčeny jako záporné – a co k tomu mohlo autory vést?</w:t>
      </w:r>
    </w:p>
    <w:p w14:paraId="087270D7" w14:textId="77777777" w:rsidR="00A4537B" w:rsidRDefault="00A4537B" w:rsidP="00A4537B">
      <w:pPr>
        <w:rPr>
          <w:b/>
          <w:sz w:val="24"/>
        </w:rPr>
      </w:pPr>
    </w:p>
    <w:p w14:paraId="295FAAB8" w14:textId="77777777" w:rsidR="00A4537B" w:rsidRPr="004C7E1B" w:rsidRDefault="00A4537B" w:rsidP="00A4537B">
      <w:pPr>
        <w:rPr>
          <w:b/>
          <w:sz w:val="24"/>
        </w:rPr>
      </w:pPr>
      <w:r w:rsidRPr="004C7E1B">
        <w:rPr>
          <w:b/>
          <w:sz w:val="24"/>
        </w:rPr>
        <w:t xml:space="preserve">Po </w:t>
      </w:r>
      <w:r w:rsidRPr="004C7E1B">
        <w:rPr>
          <w:b/>
          <w:i/>
          <w:sz w:val="24"/>
        </w:rPr>
        <w:t>sametové revoluci</w:t>
      </w:r>
    </w:p>
    <w:p w14:paraId="5625262D" w14:textId="77777777" w:rsidR="00A4537B" w:rsidRDefault="00A4537B" w:rsidP="00A4537B">
      <w:pPr>
        <w:jc w:val="both"/>
      </w:pPr>
      <w:r>
        <w:t>Poslední odstavec pochází ze středoškolské učebnice vydané po roce 2000. Stojí za ní autorský kolektiv vedený prof. Petrem Čornejem, špičkovým odborníkem právě na éru husitství.</w:t>
      </w:r>
    </w:p>
    <w:p w14:paraId="6A367FEC" w14:textId="77777777" w:rsidR="00A4537B" w:rsidRPr="008B520F" w:rsidRDefault="00A4537B" w:rsidP="00A4537B">
      <w:pPr>
        <w:jc w:val="both"/>
        <w:rPr>
          <w:i/>
        </w:rPr>
      </w:pPr>
      <w:r>
        <w:rPr>
          <w:i/>
        </w:rPr>
        <w:t>„</w:t>
      </w:r>
      <w:r w:rsidRPr="008B520F">
        <w:rPr>
          <w:i/>
        </w:rPr>
        <w:t>Brzy po Husově smrti získali v Českém království převahu přívrženci husitství. Pražští husité i prohusitští šlechtici vyháněli katolické kněze z kostelů, které svěřovali farářům podávajícím z kalicha. Na přelomu let 1418 a 1419 se však poměry změnily, Václav IV. se zalekl hrozby křížové výpravy a vliv husitství omezil.</w:t>
      </w:r>
      <w:r>
        <w:rPr>
          <w:i/>
        </w:rPr>
        <w:t xml:space="preserve"> </w:t>
      </w:r>
      <w:r w:rsidRPr="008B520F">
        <w:rPr>
          <w:i/>
        </w:rPr>
        <w:t>Na statcích katolických šlechticů nesměli husité konat své bohoslužby, začali se proto scházet na vyvýšených místech (horách). Tam přijímali z kalicha, poslouchali kázání svých kněží a zpívali písně, jejichž texty seznamovali účastníky poutí s husitským programem.</w:t>
      </w:r>
      <w:r>
        <w:rPr>
          <w:i/>
        </w:rPr>
        <w:t xml:space="preserve"> …</w:t>
      </w:r>
      <w:r w:rsidRPr="008B520F">
        <w:rPr>
          <w:i/>
        </w:rPr>
        <w:t xml:space="preserve"> </w:t>
      </w:r>
      <w:r>
        <w:rPr>
          <w:i/>
        </w:rPr>
        <w:t>Husitské obyvatelstvo v Čechách a na Moravě nebylo názorově jednotné. Přibližně od roku 1420 se husité dělili do několika seskupení (svazů). … Husité nalézali přívržence ve všech společenských vrstvách, včetně šlechty. Totéž platí o katolické straně, která měla naprostou převahu v Lužicích, ve Slezsku, ve velkých moravských městech, v pohraničních oblastech Čech i v některých českých městech.“</w:t>
      </w:r>
    </w:p>
    <w:p w14:paraId="47D674B9" w14:textId="77777777" w:rsidR="00A4537B" w:rsidRPr="008309DB" w:rsidRDefault="00A4537B" w:rsidP="00A4537B">
      <w:pPr>
        <w:jc w:val="right"/>
        <w:rPr>
          <w:sz w:val="20"/>
        </w:rPr>
      </w:pPr>
      <w:r w:rsidRPr="008309DB">
        <w:rPr>
          <w:sz w:val="20"/>
        </w:rPr>
        <w:t>Zdroj: Petr ČORNEJ a kol. – Dějepis pro střední odborné školy. SPN, Praha 2002, s. 73-75 (kráceno)</w:t>
      </w:r>
    </w:p>
    <w:p w14:paraId="0948BDF1" w14:textId="77777777" w:rsidR="00A4537B" w:rsidRDefault="00A4537B" w:rsidP="00A4537B">
      <w:pPr>
        <w:pStyle w:val="Odstavecseseznamem"/>
        <w:numPr>
          <w:ilvl w:val="0"/>
          <w:numId w:val="4"/>
        </w:numPr>
        <w:jc w:val="both"/>
      </w:pPr>
      <w:r>
        <w:t>Co je dle Čorneje, na rozdíl od obou předchozích výkladů, hlavním motivem společenských svárů?</w:t>
      </w:r>
    </w:p>
    <w:p w14:paraId="46AB8D22" w14:textId="77777777" w:rsidR="00A4537B" w:rsidRDefault="00A4537B" w:rsidP="00A4537B">
      <w:pPr>
        <w:pStyle w:val="Odstavecseseznamem"/>
        <w:ind w:left="360"/>
        <w:jc w:val="both"/>
      </w:pPr>
    </w:p>
    <w:p w14:paraId="3E522F3D" w14:textId="77777777" w:rsidR="00A4537B" w:rsidRDefault="00A4537B" w:rsidP="00A4537B">
      <w:pPr>
        <w:pStyle w:val="Odstavecseseznamem"/>
        <w:ind w:left="360"/>
        <w:jc w:val="both"/>
      </w:pPr>
    </w:p>
    <w:p w14:paraId="71EB017C" w14:textId="77777777" w:rsidR="00A4537B" w:rsidRDefault="00A4537B" w:rsidP="00A4537B">
      <w:pPr>
        <w:pStyle w:val="Odstavecseseznamem"/>
        <w:ind w:left="360"/>
        <w:jc w:val="both"/>
      </w:pPr>
    </w:p>
    <w:p w14:paraId="5FA4F971" w14:textId="77777777" w:rsidR="00A4537B" w:rsidRDefault="00A4537B" w:rsidP="00A4537B">
      <w:pPr>
        <w:pStyle w:val="Odstavecseseznamem"/>
        <w:numPr>
          <w:ilvl w:val="0"/>
          <w:numId w:val="4"/>
        </w:numPr>
        <w:jc w:val="both"/>
      </w:pPr>
      <w:r>
        <w:t>Které dříve akcentované linky text naopak upozaďuje či opomíjí – a proč?</w:t>
      </w:r>
    </w:p>
    <w:p w14:paraId="57024695" w14:textId="77777777" w:rsidR="00A4537B" w:rsidRDefault="00A4537B" w:rsidP="00A4537B">
      <w:pPr>
        <w:pStyle w:val="Odstavecseseznamem"/>
        <w:ind w:left="360"/>
        <w:jc w:val="both"/>
      </w:pPr>
    </w:p>
    <w:p w14:paraId="0D5A9680" w14:textId="77777777" w:rsidR="00A4537B" w:rsidRDefault="00A4537B" w:rsidP="00A4537B">
      <w:pPr>
        <w:pStyle w:val="Odstavecseseznamem"/>
        <w:ind w:left="360"/>
        <w:jc w:val="both"/>
      </w:pPr>
    </w:p>
    <w:p w14:paraId="674C7434" w14:textId="77777777" w:rsidR="00A4537B" w:rsidRDefault="00A4537B" w:rsidP="00A4537B">
      <w:pPr>
        <w:pStyle w:val="Odstavecseseznamem"/>
        <w:ind w:left="360"/>
        <w:jc w:val="both"/>
      </w:pPr>
    </w:p>
    <w:p w14:paraId="7B12E892" w14:textId="77777777" w:rsidR="00A4537B" w:rsidRDefault="00A4537B" w:rsidP="00A4537B">
      <w:pPr>
        <w:pStyle w:val="Odstavecseseznamem"/>
        <w:numPr>
          <w:ilvl w:val="0"/>
          <w:numId w:val="4"/>
        </w:numPr>
        <w:jc w:val="both"/>
      </w:pPr>
      <w:r>
        <w:t>Má úryvek ambice propojovat husitství se současností – a jak?</w:t>
      </w:r>
    </w:p>
    <w:p w14:paraId="1F7128A5" w14:textId="77777777" w:rsidR="00A4537B" w:rsidRDefault="00A4537B" w:rsidP="00A4537B">
      <w:pPr>
        <w:pStyle w:val="Odstavecseseznamem"/>
        <w:ind w:left="360"/>
        <w:jc w:val="both"/>
      </w:pPr>
    </w:p>
    <w:p w14:paraId="5331024E" w14:textId="77777777" w:rsidR="00A4537B" w:rsidRDefault="00A4537B" w:rsidP="00A4537B">
      <w:pPr>
        <w:pBdr>
          <w:bottom w:val="single" w:sz="12" w:space="1" w:color="auto"/>
        </w:pBdr>
        <w:jc w:val="both"/>
      </w:pPr>
    </w:p>
    <w:p w14:paraId="1A32454D" w14:textId="77777777" w:rsidR="00A4537B" w:rsidRDefault="00A4537B" w:rsidP="00A4537B">
      <w:pPr>
        <w:pBdr>
          <w:bottom w:val="single" w:sz="12" w:space="1" w:color="auto"/>
        </w:pBdr>
        <w:jc w:val="both"/>
      </w:pPr>
    </w:p>
    <w:p w14:paraId="15996215" w14:textId="77777777" w:rsidR="00A4537B" w:rsidRDefault="00A4537B" w:rsidP="00A4537B">
      <w:pPr>
        <w:jc w:val="both"/>
      </w:pPr>
      <w:r>
        <w:lastRenderedPageBreak/>
        <w:t xml:space="preserve">Všechny tři ukázky sledují stejnou dějinnou epochu, všechny tři ukázky sepsali univerzitní profesoři historie, všechny tři ukázky ve své době sloužily ke školní výuce – přesto se obsah a vyznění textů vcelku významně liší.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7"/>
        <w:gridCol w:w="2526"/>
        <w:gridCol w:w="2270"/>
        <w:gridCol w:w="2268"/>
      </w:tblGrid>
      <w:tr w:rsidR="00A4537B" w14:paraId="0FB88309" w14:textId="77777777" w:rsidTr="0010684B">
        <w:trPr>
          <w:trHeight w:val="397"/>
        </w:trPr>
        <w:tc>
          <w:tcPr>
            <w:tcW w:w="2263" w:type="dxa"/>
            <w:vAlign w:val="center"/>
          </w:tcPr>
          <w:p w14:paraId="38548191" w14:textId="77777777" w:rsidR="00A4537B" w:rsidRDefault="00A4537B" w:rsidP="0010684B">
            <w:pPr>
              <w:jc w:val="center"/>
            </w:pPr>
            <w:r w:rsidRPr="00143C2A">
              <w:rPr>
                <w:rFonts w:ascii="Segoe UI Symbol" w:hAnsi="Segoe UI Symbol" w:cs="Segoe UI Symbol"/>
                <w:sz w:val="20"/>
              </w:rPr>
              <w:t>🍷</w:t>
            </w:r>
          </w:p>
        </w:tc>
        <w:tc>
          <w:tcPr>
            <w:tcW w:w="2825" w:type="dxa"/>
            <w:vAlign w:val="center"/>
          </w:tcPr>
          <w:p w14:paraId="1CFB6B86" w14:textId="77777777" w:rsidR="00A4537B" w:rsidRDefault="00A4537B" w:rsidP="0010684B">
            <w:pPr>
              <w:ind w:left="708" w:hanging="708"/>
              <w:jc w:val="center"/>
            </w:pPr>
            <w:r>
              <w:t>J. Pekař – 1914</w:t>
            </w:r>
          </w:p>
        </w:tc>
        <w:tc>
          <w:tcPr>
            <w:tcW w:w="2684" w:type="dxa"/>
            <w:vAlign w:val="center"/>
          </w:tcPr>
          <w:p w14:paraId="7458B0F8" w14:textId="77777777" w:rsidR="00A4537B" w:rsidRDefault="00A4537B" w:rsidP="0010684B">
            <w:pPr>
              <w:jc w:val="center"/>
            </w:pPr>
            <w:r>
              <w:t>M. Trapl a V. Čapek – 1959</w:t>
            </w:r>
          </w:p>
        </w:tc>
        <w:tc>
          <w:tcPr>
            <w:tcW w:w="2684" w:type="dxa"/>
            <w:vAlign w:val="center"/>
          </w:tcPr>
          <w:p w14:paraId="098A0A44" w14:textId="77777777" w:rsidR="00A4537B" w:rsidRDefault="00A4537B" w:rsidP="0010684B">
            <w:pPr>
              <w:jc w:val="center"/>
            </w:pPr>
            <w:r>
              <w:t>P. Čornej – 2002</w:t>
            </w:r>
          </w:p>
        </w:tc>
      </w:tr>
      <w:tr w:rsidR="00A4537B" w14:paraId="4E5C1341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3487A9D1" w14:textId="77777777" w:rsidR="00A4537B" w:rsidRDefault="00A4537B" w:rsidP="0010684B">
            <w:r>
              <w:t>Husiti jsou líčeni jako…</w:t>
            </w:r>
          </w:p>
          <w:p w14:paraId="538A7D95" w14:textId="77777777" w:rsidR="00A4537B" w:rsidRDefault="00A4537B" w:rsidP="0010684B">
            <w:r>
              <w:t>(maximálně 5 slov)</w:t>
            </w:r>
          </w:p>
        </w:tc>
        <w:tc>
          <w:tcPr>
            <w:tcW w:w="2825" w:type="dxa"/>
            <w:vAlign w:val="center"/>
          </w:tcPr>
          <w:p w14:paraId="0300A1FD" w14:textId="77777777" w:rsidR="00A4537B" w:rsidRDefault="00A4537B" w:rsidP="0010684B"/>
        </w:tc>
        <w:tc>
          <w:tcPr>
            <w:tcW w:w="2684" w:type="dxa"/>
            <w:vAlign w:val="center"/>
          </w:tcPr>
          <w:p w14:paraId="4A5306C1" w14:textId="77777777" w:rsidR="00A4537B" w:rsidRDefault="00A4537B" w:rsidP="0010684B"/>
        </w:tc>
        <w:tc>
          <w:tcPr>
            <w:tcW w:w="2684" w:type="dxa"/>
            <w:vAlign w:val="center"/>
          </w:tcPr>
          <w:p w14:paraId="6E36FB85" w14:textId="77777777" w:rsidR="00A4537B" w:rsidRDefault="00A4537B" w:rsidP="0010684B"/>
        </w:tc>
      </w:tr>
      <w:tr w:rsidR="00A4537B" w14:paraId="3241B5A3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3D5B7ADB" w14:textId="77777777" w:rsidR="00A4537B" w:rsidRDefault="00A4537B" w:rsidP="0010684B">
            <w:r>
              <w:t>Jejich hlavním protivníkem byl/-i...</w:t>
            </w:r>
          </w:p>
        </w:tc>
        <w:tc>
          <w:tcPr>
            <w:tcW w:w="2825" w:type="dxa"/>
            <w:vAlign w:val="center"/>
          </w:tcPr>
          <w:p w14:paraId="79850004" w14:textId="77777777" w:rsidR="00A4537B" w:rsidRDefault="00A4537B" w:rsidP="0010684B"/>
        </w:tc>
        <w:tc>
          <w:tcPr>
            <w:tcW w:w="2684" w:type="dxa"/>
            <w:vAlign w:val="center"/>
          </w:tcPr>
          <w:p w14:paraId="7E5E9F32" w14:textId="77777777" w:rsidR="00A4537B" w:rsidRDefault="00A4537B" w:rsidP="0010684B"/>
        </w:tc>
        <w:tc>
          <w:tcPr>
            <w:tcW w:w="2684" w:type="dxa"/>
            <w:vAlign w:val="center"/>
          </w:tcPr>
          <w:p w14:paraId="0F0E4A36" w14:textId="77777777" w:rsidR="00A4537B" w:rsidRDefault="00A4537B" w:rsidP="0010684B"/>
        </w:tc>
      </w:tr>
      <w:tr w:rsidR="00A4537B" w14:paraId="1B20AB06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1DE1F4A6" w14:textId="77777777" w:rsidR="00A4537B" w:rsidRDefault="00A4537B" w:rsidP="0010684B">
            <w:r>
              <w:t>Co v úryvku schází při vzájemném srovnání?</w:t>
            </w:r>
          </w:p>
        </w:tc>
        <w:tc>
          <w:tcPr>
            <w:tcW w:w="2825" w:type="dxa"/>
            <w:vAlign w:val="center"/>
          </w:tcPr>
          <w:p w14:paraId="00735442" w14:textId="77777777" w:rsidR="00A4537B" w:rsidRDefault="00A4537B" w:rsidP="0010684B"/>
        </w:tc>
        <w:tc>
          <w:tcPr>
            <w:tcW w:w="2684" w:type="dxa"/>
            <w:vAlign w:val="center"/>
          </w:tcPr>
          <w:p w14:paraId="6374142F" w14:textId="77777777" w:rsidR="00A4537B" w:rsidRDefault="00A4537B" w:rsidP="0010684B"/>
        </w:tc>
        <w:tc>
          <w:tcPr>
            <w:tcW w:w="2684" w:type="dxa"/>
            <w:vAlign w:val="center"/>
          </w:tcPr>
          <w:p w14:paraId="77372F5B" w14:textId="77777777" w:rsidR="00A4537B" w:rsidRDefault="00A4537B" w:rsidP="0010684B"/>
        </w:tc>
      </w:tr>
      <w:tr w:rsidR="00A4537B" w14:paraId="7FC0684D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4F4DCD7C" w14:textId="77777777" w:rsidR="00A4537B" w:rsidRDefault="00A4537B" w:rsidP="0010684B">
            <w:r>
              <w:t>Jak vyznění učebnice ovlivnila doba vzniku?</w:t>
            </w:r>
          </w:p>
        </w:tc>
        <w:tc>
          <w:tcPr>
            <w:tcW w:w="2825" w:type="dxa"/>
            <w:vAlign w:val="center"/>
          </w:tcPr>
          <w:p w14:paraId="76D0F2BF" w14:textId="77777777" w:rsidR="00A4537B" w:rsidRDefault="00A4537B" w:rsidP="0010684B"/>
        </w:tc>
        <w:tc>
          <w:tcPr>
            <w:tcW w:w="2684" w:type="dxa"/>
            <w:vAlign w:val="center"/>
          </w:tcPr>
          <w:p w14:paraId="48FD8E62" w14:textId="77777777" w:rsidR="00A4537B" w:rsidRDefault="00A4537B" w:rsidP="0010684B"/>
        </w:tc>
        <w:tc>
          <w:tcPr>
            <w:tcW w:w="2684" w:type="dxa"/>
            <w:vAlign w:val="center"/>
          </w:tcPr>
          <w:p w14:paraId="424C2F53" w14:textId="77777777" w:rsidR="00A4537B" w:rsidRDefault="00A4537B" w:rsidP="0010684B"/>
        </w:tc>
      </w:tr>
      <w:tr w:rsidR="00A4537B" w14:paraId="50FE5B3A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136E5A6C" w14:textId="77777777" w:rsidR="00A4537B" w:rsidRDefault="00A4537B" w:rsidP="0010684B">
            <w:r>
              <w:t>Kterým směrem text čtenáře manipuloval?</w:t>
            </w:r>
          </w:p>
        </w:tc>
        <w:tc>
          <w:tcPr>
            <w:tcW w:w="2825" w:type="dxa"/>
            <w:vAlign w:val="center"/>
          </w:tcPr>
          <w:p w14:paraId="0B8F8BDF" w14:textId="77777777" w:rsidR="00A4537B" w:rsidRDefault="00A4537B" w:rsidP="0010684B"/>
        </w:tc>
        <w:tc>
          <w:tcPr>
            <w:tcW w:w="2684" w:type="dxa"/>
            <w:vAlign w:val="center"/>
          </w:tcPr>
          <w:p w14:paraId="1CF5AB0D" w14:textId="77777777" w:rsidR="00A4537B" w:rsidRDefault="00A4537B" w:rsidP="0010684B"/>
        </w:tc>
        <w:tc>
          <w:tcPr>
            <w:tcW w:w="2684" w:type="dxa"/>
            <w:vAlign w:val="center"/>
          </w:tcPr>
          <w:p w14:paraId="17AFDEAD" w14:textId="77777777" w:rsidR="00A4537B" w:rsidRDefault="00A4537B" w:rsidP="0010684B"/>
        </w:tc>
      </w:tr>
      <w:tr w:rsidR="00A4537B" w14:paraId="6CCE2B55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48FEABBE" w14:textId="77777777" w:rsidR="00A4537B" w:rsidRDefault="00A4537B" w:rsidP="0010684B">
            <w:r>
              <w:t>Míra důvěryhodnosti</w:t>
            </w:r>
          </w:p>
          <w:p w14:paraId="6D0F7289" w14:textId="77777777" w:rsidR="00A4537B" w:rsidRDefault="00A4537B" w:rsidP="0010684B">
            <w:r>
              <w:t>(1 nejmíň – 10 nejvíc)</w:t>
            </w:r>
          </w:p>
        </w:tc>
        <w:tc>
          <w:tcPr>
            <w:tcW w:w="2825" w:type="dxa"/>
            <w:vAlign w:val="center"/>
          </w:tcPr>
          <w:p w14:paraId="04A9DBCC" w14:textId="77777777" w:rsidR="00A4537B" w:rsidRDefault="00A4537B" w:rsidP="0010684B"/>
        </w:tc>
        <w:tc>
          <w:tcPr>
            <w:tcW w:w="2684" w:type="dxa"/>
            <w:vAlign w:val="center"/>
          </w:tcPr>
          <w:p w14:paraId="0361D57D" w14:textId="77777777" w:rsidR="00A4537B" w:rsidRDefault="00A4537B" w:rsidP="0010684B"/>
        </w:tc>
        <w:tc>
          <w:tcPr>
            <w:tcW w:w="2684" w:type="dxa"/>
            <w:vAlign w:val="center"/>
          </w:tcPr>
          <w:p w14:paraId="5B47CE9C" w14:textId="77777777" w:rsidR="00A4537B" w:rsidRDefault="00A4537B" w:rsidP="0010684B"/>
        </w:tc>
      </w:tr>
    </w:tbl>
    <w:p w14:paraId="3C6154F7" w14:textId="77777777" w:rsidR="00A4537B" w:rsidRDefault="00A4537B" w:rsidP="00A4537B">
      <w:pPr>
        <w:pStyle w:val="Odstavecseseznamem"/>
        <w:pBdr>
          <w:bottom w:val="single" w:sz="12" w:space="1" w:color="auto"/>
        </w:pBdr>
        <w:ind w:left="0"/>
        <w:jc w:val="both"/>
      </w:pPr>
    </w:p>
    <w:p w14:paraId="7D054F95" w14:textId="77777777" w:rsidR="00A4537B" w:rsidRPr="00A31A50" w:rsidRDefault="00A4537B" w:rsidP="00A4537B">
      <w:pPr>
        <w:jc w:val="both"/>
        <w:rPr>
          <w:sz w:val="28"/>
        </w:rPr>
      </w:pPr>
      <w:r>
        <w:t>BONUS: Porovnejte výše citovaný Čornejův výklad s textem ve Vaší učebnici. Shoduje se? Je odlišný? V čem? Proč?</w:t>
      </w:r>
    </w:p>
    <w:p w14:paraId="59FAC35B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04255CBE" w14:textId="77777777" w:rsidR="7E97C02B" w:rsidRDefault="7E97C02B" w:rsidP="002618D3">
      <w:pPr>
        <w:pStyle w:val="NPIstyl"/>
      </w:pPr>
    </w:p>
    <w:p w14:paraId="2863A0F8" w14:textId="77777777" w:rsidR="002618D3" w:rsidRDefault="002618D3" w:rsidP="002618D3">
      <w:pPr>
        <w:pStyle w:val="NPIstyl"/>
      </w:pPr>
    </w:p>
    <w:p w14:paraId="11230990" w14:textId="77777777" w:rsidR="002618D3" w:rsidRDefault="002618D3" w:rsidP="002618D3">
      <w:pPr>
        <w:pStyle w:val="NPIstyl"/>
      </w:pPr>
    </w:p>
    <w:p w14:paraId="08328706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721D" w14:textId="77777777" w:rsidR="00363A98" w:rsidRDefault="00363A98">
      <w:r>
        <w:separator/>
      </w:r>
    </w:p>
  </w:endnote>
  <w:endnote w:type="continuationSeparator" w:id="0">
    <w:p w14:paraId="4DE19A14" w14:textId="77777777" w:rsidR="00363A98" w:rsidRDefault="003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35DB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91D9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29C51E2E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0A23975E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570F" w14:textId="77777777" w:rsidR="00363A98" w:rsidRDefault="00363A98">
      <w:r>
        <w:separator/>
      </w:r>
    </w:p>
  </w:footnote>
  <w:footnote w:type="continuationSeparator" w:id="0">
    <w:p w14:paraId="0785DD84" w14:textId="77777777" w:rsidR="00363A98" w:rsidRDefault="0036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6BEA513A" w14:textId="77777777" w:rsidTr="7E97C02B">
      <w:trPr>
        <w:trHeight w:val="300"/>
      </w:trPr>
      <w:tc>
        <w:tcPr>
          <w:tcW w:w="3020" w:type="dxa"/>
        </w:tcPr>
        <w:p w14:paraId="5B63487F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0AE11179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7768008E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73B11D6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D8CC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92D76AA" wp14:editId="402E4FD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7CD59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17B3A"/>
    <w:multiLevelType w:val="hybridMultilevel"/>
    <w:tmpl w:val="8C704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17B01"/>
    <w:multiLevelType w:val="hybridMultilevel"/>
    <w:tmpl w:val="3904AE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8242E2"/>
    <w:multiLevelType w:val="hybridMultilevel"/>
    <w:tmpl w:val="4FB8B7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607069">
    <w:abstractNumId w:val="3"/>
  </w:num>
  <w:num w:numId="2" w16cid:durableId="497502352">
    <w:abstractNumId w:val="0"/>
  </w:num>
  <w:num w:numId="3" w16cid:durableId="1996454252">
    <w:abstractNumId w:val="1"/>
  </w:num>
  <w:num w:numId="4" w16cid:durableId="170748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B"/>
    <w:rsid w:val="00015BFE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63A98"/>
    <w:rsid w:val="00372CA6"/>
    <w:rsid w:val="00377728"/>
    <w:rsid w:val="003966D1"/>
    <w:rsid w:val="003A45B7"/>
    <w:rsid w:val="003B574D"/>
    <w:rsid w:val="003E562F"/>
    <w:rsid w:val="00437074"/>
    <w:rsid w:val="00454832"/>
    <w:rsid w:val="004A2A98"/>
    <w:rsid w:val="004C338B"/>
    <w:rsid w:val="004D1013"/>
    <w:rsid w:val="004D25D1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4537B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3694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03F4"/>
    <w:rsid w:val="00EC24D3"/>
    <w:rsid w:val="00EE46CA"/>
    <w:rsid w:val="00EF7B79"/>
    <w:rsid w:val="00F00F5A"/>
    <w:rsid w:val="00F07432"/>
    <w:rsid w:val="00F34034"/>
    <w:rsid w:val="00F609B1"/>
    <w:rsid w:val="00F76EB6"/>
    <w:rsid w:val="00FD685D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D8ED4"/>
  <w15:chartTrackingRefBased/>
  <w15:docId w15:val="{8931CA1B-0ED5-47DA-9A64-F2BDDEA6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537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A4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5C9AC-D663-4883-A3AB-DAA7D9470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0</TotalTime>
  <Pages>1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4</cp:revision>
  <cp:lastPrinted>2025-08-19T14:08:00Z</cp:lastPrinted>
  <dcterms:created xsi:type="dcterms:W3CDTF">2025-08-03T17:40:00Z</dcterms:created>
  <dcterms:modified xsi:type="dcterms:W3CDTF">2025-08-19T14:08:00Z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