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5BDED" w14:textId="13B2D522" w:rsidR="007E1EE1" w:rsidRPr="007E1EE1" w:rsidRDefault="007E1EE1" w:rsidP="007E1EE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Inter" w:eastAsia="Times New Roman" w:hAnsi="Inter" w:cs="Times New Roman"/>
          <w:b/>
          <w:bCs/>
          <w:color w:val="172B4D"/>
          <w:sz w:val="24"/>
          <w:szCs w:val="24"/>
          <w:lang w:eastAsia="cs-CZ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E1EE1" w14:paraId="67454F5C" w14:textId="77777777" w:rsidTr="007E1EE1">
        <w:tc>
          <w:tcPr>
            <w:tcW w:w="13994" w:type="dxa"/>
          </w:tcPr>
          <w:p w14:paraId="64EA22D9" w14:textId="64F681AE" w:rsidR="00721C3D" w:rsidRDefault="00721C3D" w:rsidP="00721C3D">
            <w:pPr>
              <w:ind w:left="720"/>
            </w:pPr>
          </w:p>
          <w:p w14:paraId="5FD9EC4A" w14:textId="4A53A5C0" w:rsidR="00423EE7" w:rsidRPr="004D28D2" w:rsidRDefault="00423EE7" w:rsidP="00721C3D">
            <w:pPr>
              <w:ind w:left="720"/>
              <w:rPr>
                <w:b/>
              </w:rPr>
            </w:pPr>
            <w:r w:rsidRPr="004D28D2">
              <w:rPr>
                <w:b/>
              </w:rPr>
              <w:t>Objevování materiálů</w:t>
            </w:r>
            <w:r w:rsidR="006B46C1" w:rsidRPr="004D28D2">
              <w:rPr>
                <w:b/>
              </w:rPr>
              <w:t xml:space="preserve"> – skládání tvarů </w:t>
            </w:r>
          </w:p>
          <w:p w14:paraId="2824B57D" w14:textId="235355CD" w:rsidR="00423EE7" w:rsidRDefault="00423EE7" w:rsidP="00721C3D">
            <w:pPr>
              <w:ind w:left="720"/>
            </w:pPr>
          </w:p>
          <w:p w14:paraId="5B5C3097" w14:textId="519A6D8C" w:rsidR="007E1EE1" w:rsidRDefault="00423EE7" w:rsidP="006B46C1">
            <w:pPr>
              <w:ind w:left="720"/>
            </w:pPr>
            <w:r>
              <w:t xml:space="preserve">Nejčastějším materiálem, se kterým se pracuje je papír. Zařazení jiných materiálů často předchází obava z toho, že jsou obtížně </w:t>
            </w:r>
            <w:r w:rsidR="006B46C1">
              <w:t>d</w:t>
            </w:r>
            <w:r>
              <w:t xml:space="preserve">ostupné, že vyžadují složitější organizaci tvůrčí činnosti i </w:t>
            </w:r>
            <w:r w:rsidR="006B46C1">
              <w:t xml:space="preserve">nabyté </w:t>
            </w:r>
            <w:r>
              <w:t>dovednosti.</w:t>
            </w:r>
            <w:r w:rsidR="006B46C1">
              <w:t xml:space="preserve"> Zkusme využít materiál, který má velmi příjemné vlastnosti, manipulace s ním rozvíjí jemnou</w:t>
            </w:r>
            <w:r w:rsidR="00EA6CD4">
              <w:t xml:space="preserve"> </w:t>
            </w:r>
            <w:r w:rsidR="006B46C1">
              <w:t>motoriku</w:t>
            </w:r>
            <w:r w:rsidR="00EA6CD4">
              <w:t>,</w:t>
            </w:r>
            <w:r w:rsidR="006B46C1">
              <w:t xml:space="preserve"> a navíc </w:t>
            </w:r>
            <w:r w:rsidR="00EA6CD4">
              <w:t>je velmi dostupný. Zkusili jste již někdy využít kůru mandarinek? Vyzkoušíme si</w:t>
            </w:r>
            <w:r w:rsidR="004D28D2">
              <w:t>,</w:t>
            </w:r>
            <w:r w:rsidR="00EA6CD4">
              <w:t xml:space="preserve"> co vše nám mohou připomínat sestavy </w:t>
            </w:r>
            <w:r w:rsidR="006B46C1">
              <w:t>náhodně vy</w:t>
            </w:r>
            <w:r w:rsidR="00EA6CD4">
              <w:t xml:space="preserve">stříhaných </w:t>
            </w:r>
            <w:r w:rsidR="006B46C1">
              <w:t>tvarů.</w:t>
            </w:r>
            <w:r w:rsidR="00EA6CD4">
              <w:t xml:space="preserve"> A navíc si dáme </w:t>
            </w:r>
            <w:r w:rsidR="004D28D2">
              <w:t xml:space="preserve">i zdravou </w:t>
            </w:r>
            <w:r w:rsidR="00EA6CD4">
              <w:t>svačinu.</w:t>
            </w:r>
          </w:p>
          <w:p w14:paraId="6966B336" w14:textId="23F61F45" w:rsidR="006B46C1" w:rsidRDefault="006B46C1" w:rsidP="006B46C1">
            <w:pPr>
              <w:ind w:left="720"/>
            </w:pPr>
          </w:p>
          <w:p w14:paraId="149A3094" w14:textId="7A466804" w:rsidR="006B46C1" w:rsidRDefault="006B46C1" w:rsidP="006B46C1">
            <w:pPr>
              <w:spacing w:before="100" w:beforeAutospacing="1" w:after="100" w:afterAutospacing="1"/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</w:pPr>
            <w:r>
              <w:rPr>
                <w:rFonts w:ascii="Inter" w:eastAsia="Times New Roman" w:hAnsi="Inter" w:cs="Times New Roman"/>
                <w:b/>
                <w:bCs/>
                <w:color w:val="172B4D"/>
                <w:sz w:val="21"/>
                <w:szCs w:val="21"/>
                <w:lang w:eastAsia="cs-CZ"/>
              </w:rPr>
              <w:t>Zadání pro žáky: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 </w:t>
            </w:r>
          </w:p>
          <w:p w14:paraId="7A1161E1" w14:textId="66E84136" w:rsidR="006B46C1" w:rsidRDefault="006B46C1" w:rsidP="006B46C1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</w:pP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Na začátku je jeden malý úkol: přin</w:t>
            </w:r>
            <w:r w:rsidR="00142959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é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st si ke svačině mandarin</w:t>
            </w:r>
            <w:r w:rsidR="00142959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k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y (</w:t>
            </w:r>
            <w:r w:rsidR="00142959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nejlépe tři).</w:t>
            </w:r>
          </w:p>
          <w:p w14:paraId="2E66BC16" w14:textId="40DE7C40" w:rsidR="00142959" w:rsidRDefault="00142959" w:rsidP="006B46C1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</w:pP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Následně </w:t>
            </w:r>
            <w:r w:rsidR="006B46C1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mandarinku oloup</w:t>
            </w:r>
            <w:r w:rsidR="004D28D2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at</w:t>
            </w:r>
            <w:r w:rsidR="006B46C1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 tak, aby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 kůra zůstala v co možná největších „kusech“ a mandarinku sní</w:t>
            </w:r>
            <w:r w:rsidR="004D28D2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st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.</w:t>
            </w:r>
          </w:p>
          <w:p w14:paraId="56CAD991" w14:textId="327EB711" w:rsidR="00142959" w:rsidRDefault="00142959" w:rsidP="006B46C1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</w:pP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Protože naše výtvarná etuda je zaměřená na objevování vlastností materiálů, tak je dobré věnovat samotné kůře chvíli pozornost – voní, je měkká, lze ji ohýbat a </w:t>
            </w:r>
            <w:r w:rsidR="004D28D2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také se 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dobře se stříhá</w:t>
            </w:r>
            <w:r w:rsidR="004D28D2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.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 </w:t>
            </w:r>
          </w:p>
          <w:p w14:paraId="7E5CC8D2" w14:textId="3679200F" w:rsidR="006B46C1" w:rsidRPr="006B46C1" w:rsidRDefault="00142959" w:rsidP="006B46C1">
            <w:pPr>
              <w:pStyle w:val="Odstavecseseznamem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</w:pP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A protože se dobře stříhá, tak si nastříháme různé tvary – žádné dopředu určené, </w:t>
            </w:r>
            <w:r w:rsidR="004D28D2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ale jen tak 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ty, co nás napadnou (vhodné je použít spíše menší nůžky)</w:t>
            </w:r>
            <w:r w:rsidR="004D28D2"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>.</w:t>
            </w:r>
            <w:r>
              <w:rPr>
                <w:rFonts w:ascii="Inter" w:eastAsia="Times New Roman" w:hAnsi="Inter" w:cs="Times New Roman"/>
                <w:color w:val="172B4D"/>
                <w:sz w:val="21"/>
                <w:szCs w:val="21"/>
                <w:lang w:eastAsia="cs-CZ"/>
              </w:rPr>
              <w:t xml:space="preserve"> </w:t>
            </w:r>
          </w:p>
          <w:p w14:paraId="341A6F30" w14:textId="58AFEE33" w:rsidR="006B46C1" w:rsidRDefault="00142959" w:rsidP="006B46C1">
            <w:pPr>
              <w:ind w:left="720"/>
            </w:pPr>
            <w:r>
              <w:rPr>
                <w:noProof/>
              </w:rPr>
              <w:drawing>
                <wp:inline distT="0" distB="0" distL="0" distR="0" wp14:anchorId="2CDE6B8A" wp14:editId="012A1F19">
                  <wp:extent cx="1440000" cy="1080000"/>
                  <wp:effectExtent l="0" t="228600" r="0" b="23495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2000000" lon="10800000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1A64520D" w14:textId="0C428DEA" w:rsidR="006B46C1" w:rsidRPr="003B7CD0" w:rsidRDefault="00FC0BB8" w:rsidP="00FC0BB8">
            <w:pPr>
              <w:ind w:left="720"/>
              <w:rPr>
                <w:i/>
              </w:rPr>
            </w:pPr>
            <w:r w:rsidRPr="003B7CD0">
              <w:rPr>
                <w:i/>
              </w:rPr>
              <w:t xml:space="preserve">Obr. 1. náhodně vystříhané tvary, které náhodným skládáním a vrstvením na sebe postupně začaly připomínat fantazijní zvíře. </w:t>
            </w:r>
            <w:r w:rsidR="004D28D2">
              <w:rPr>
                <w:i/>
              </w:rPr>
              <w:t>„</w:t>
            </w:r>
            <w:r w:rsidR="003B7CD0">
              <w:rPr>
                <w:i/>
              </w:rPr>
              <w:t>Oko</w:t>
            </w:r>
            <w:r w:rsidR="004D28D2">
              <w:rPr>
                <w:i/>
              </w:rPr>
              <w:t>“</w:t>
            </w:r>
            <w:r w:rsidR="003B7CD0">
              <w:rPr>
                <w:i/>
              </w:rPr>
              <w:t xml:space="preserve"> není přidáno, ale je součástí kůry mandarinky – i takové překvapení obyčejná kůra v sobě skrývá.</w:t>
            </w:r>
          </w:p>
          <w:p w14:paraId="179A9530" w14:textId="77777777" w:rsidR="00FC0BB8" w:rsidRDefault="00FC0BB8" w:rsidP="00FC0BB8">
            <w:pPr>
              <w:ind w:left="720"/>
            </w:pPr>
          </w:p>
          <w:p w14:paraId="349A0041" w14:textId="16A7E773" w:rsidR="00FC0BB8" w:rsidRDefault="00FC0BB8" w:rsidP="00FC0BB8">
            <w:pPr>
              <w:ind w:left="720"/>
            </w:pPr>
            <w:r>
              <w:rPr>
                <w:noProof/>
              </w:rPr>
              <w:lastRenderedPageBreak/>
              <w:drawing>
                <wp:inline distT="0" distB="0" distL="0" distR="0" wp14:anchorId="757455C2" wp14:editId="0FD1C47F">
                  <wp:extent cx="1440000" cy="1080000"/>
                  <wp:effectExtent l="0" t="228600" r="0" b="23495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  <w:p w14:paraId="4266EF3C" w14:textId="3491A20B" w:rsidR="009F0057" w:rsidRPr="003B7CD0" w:rsidRDefault="009F0057" w:rsidP="00FC0BB8">
            <w:pPr>
              <w:ind w:left="720"/>
              <w:rPr>
                <w:i/>
              </w:rPr>
            </w:pPr>
            <w:r w:rsidRPr="003B7CD0">
              <w:rPr>
                <w:i/>
              </w:rPr>
              <w:t xml:space="preserve">Obr. 2.  důležité je nespokojit se s prvním uspořádáním a hledat další varianty tím, že zasáhneme do původních tvarů i tím, že měníme pozadí. </w:t>
            </w:r>
          </w:p>
          <w:p w14:paraId="6DE68128" w14:textId="77777777" w:rsidR="009F0057" w:rsidRDefault="009F0057" w:rsidP="00FC0BB8">
            <w:pPr>
              <w:ind w:left="720"/>
            </w:pPr>
          </w:p>
          <w:p w14:paraId="0FDDFC04" w14:textId="56ED0A63" w:rsidR="00FC0BB8" w:rsidRDefault="00FC0BB8" w:rsidP="00FC0BB8">
            <w:pPr>
              <w:ind w:left="720"/>
            </w:pPr>
            <w:r>
              <w:t>Důležité je s jednotlivými tvary manipulovat a hledat různé varianty i tím, že je pokládáme na různ</w:t>
            </w:r>
            <w:r w:rsidR="004D28D2">
              <w:t>é povrchy</w:t>
            </w:r>
            <w:r>
              <w:t xml:space="preserve">, v tomto případě </w:t>
            </w:r>
            <w:r w:rsidR="004D28D2">
              <w:t xml:space="preserve">na </w:t>
            </w:r>
            <w:r>
              <w:t>různě barevné</w:t>
            </w:r>
            <w:r w:rsidR="004D28D2">
              <w:t xml:space="preserve"> plochy</w:t>
            </w:r>
            <w:r>
              <w:t xml:space="preserve">. </w:t>
            </w:r>
            <w:r w:rsidR="004D28D2">
              <w:t>J</w:t>
            </w:r>
            <w:r>
              <w:t xml:space="preserve">e vhodnější využít </w:t>
            </w:r>
            <w:r w:rsidR="00E222D3">
              <w:t xml:space="preserve">silnější barevné papíry, různě barevné fólie apod. Zásadní pravidlo je NELEPIT! Tím by se kouzlo hry a objevování pokazilo a změnila by se tato tvůrčí </w:t>
            </w:r>
            <w:r w:rsidR="004D28D2">
              <w:t xml:space="preserve">aktivita </w:t>
            </w:r>
            <w:r w:rsidR="00E222D3">
              <w:t xml:space="preserve">ve </w:t>
            </w:r>
            <w:r w:rsidR="004D28D2">
              <w:t>„</w:t>
            </w:r>
            <w:r w:rsidR="00E222D3">
              <w:t>výrobu dekorativních předmětů</w:t>
            </w:r>
            <w:r w:rsidR="004D28D2">
              <w:t>“</w:t>
            </w:r>
            <w:r w:rsidR="00E222D3">
              <w:t>. Smysl celé činnosti je právě v manipulaci a postupném objevování toho, co by nám seskupené části mohly připomínat.</w:t>
            </w:r>
            <w:r w:rsidR="004D28D2">
              <w:t xml:space="preserve"> </w:t>
            </w:r>
          </w:p>
          <w:p w14:paraId="2CA50FD3" w14:textId="6BF0992B" w:rsidR="00E222D3" w:rsidRDefault="00E222D3" w:rsidP="00FC0BB8">
            <w:pPr>
              <w:ind w:left="720"/>
            </w:pPr>
            <w:r>
              <w:t>Tím, jak přesouváme a opětovně skládáme tvary nás mohou napadat další drobné zásahy do původních tvarů dalším stříháním. Postupně se nám také začíná objevovat možná podoba „zvířete“</w:t>
            </w:r>
            <w:r w:rsidR="004D28D2">
              <w:t>, „naskakují“ nám různé asociace</w:t>
            </w:r>
            <w:r>
              <w:t xml:space="preserve">. Tím, že jednotlivé části nejsou fixované, můžeme naše fantazijní zvíře i „rozhýbat“. </w:t>
            </w:r>
          </w:p>
          <w:p w14:paraId="2D75A173" w14:textId="77777777" w:rsidR="00E222D3" w:rsidRDefault="00E222D3" w:rsidP="00FC0BB8">
            <w:pPr>
              <w:ind w:left="720"/>
            </w:pPr>
          </w:p>
          <w:p w14:paraId="47D44F67" w14:textId="565E4918" w:rsidR="00E222D3" w:rsidRDefault="00E222D3" w:rsidP="00FC0BB8">
            <w:pPr>
              <w:ind w:left="720"/>
            </w:pPr>
            <w:r>
              <w:rPr>
                <w:noProof/>
              </w:rPr>
              <w:drawing>
                <wp:inline distT="0" distB="0" distL="0" distR="0" wp14:anchorId="06A02F83" wp14:editId="5B2B0B1A">
                  <wp:extent cx="1440000" cy="1080000"/>
                  <wp:effectExtent l="0" t="228600" r="0" b="23495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0" lon="0" rev="16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7A271081" w14:textId="77777777" w:rsidR="003B7CD0" w:rsidRDefault="003B7CD0" w:rsidP="003B7CD0"/>
          <w:p w14:paraId="1AE153CC" w14:textId="47B12F8E" w:rsidR="00E222D3" w:rsidRDefault="003B7CD0" w:rsidP="00FC0BB8">
            <w:pPr>
              <w:ind w:left="720"/>
              <w:rPr>
                <w:i/>
              </w:rPr>
            </w:pPr>
            <w:r w:rsidRPr="003B7CD0">
              <w:rPr>
                <w:i/>
              </w:rPr>
              <w:t>Obr. 3 malou změnou dokážeme změnit výraz a přidáním dalších atributů i vyznění situace jako takové.</w:t>
            </w:r>
          </w:p>
          <w:p w14:paraId="737A3CD0" w14:textId="77777777" w:rsidR="003B7CD0" w:rsidRPr="003B7CD0" w:rsidRDefault="003B7CD0" w:rsidP="00FC0BB8">
            <w:pPr>
              <w:ind w:left="720"/>
              <w:rPr>
                <w:i/>
              </w:rPr>
            </w:pPr>
          </w:p>
          <w:p w14:paraId="48DA41B3" w14:textId="591D5B2C" w:rsidR="00E222D3" w:rsidRDefault="00E222D3" w:rsidP="00FC0BB8">
            <w:pPr>
              <w:ind w:left="720"/>
            </w:pPr>
            <w:r>
              <w:t xml:space="preserve">Kouzlo této hry </w:t>
            </w:r>
            <w:r w:rsidR="00135EBF">
              <w:t>(</w:t>
            </w:r>
            <w:r>
              <w:t>experimentu s</w:t>
            </w:r>
            <w:r w:rsidR="00135EBF">
              <w:t> </w:t>
            </w:r>
            <w:r>
              <w:t>materiálem</w:t>
            </w:r>
            <w:r w:rsidR="00135EBF">
              <w:t xml:space="preserve">) spočívá v možnosti </w:t>
            </w:r>
            <w:r>
              <w:t>neustálé změny</w:t>
            </w:r>
            <w:r w:rsidR="00135EBF">
              <w:t xml:space="preserve"> a „netrvanlivosti“ toho, co </w:t>
            </w:r>
            <w:r w:rsidR="002F5FCC">
              <w:t>vytvoříme.</w:t>
            </w:r>
            <w:r w:rsidR="00135EBF">
              <w:t xml:space="preserve"> Přesto je ale přirozená touha nějak uchovat výsledek. VÝSLEDEK UCHOVEJME POUZE TÍM, ŽE JEJ VYFOTOGRAFUJEME! </w:t>
            </w:r>
            <w:r>
              <w:t xml:space="preserve"> </w:t>
            </w:r>
          </w:p>
          <w:p w14:paraId="369D835C" w14:textId="40DFFB54" w:rsidR="00E222D3" w:rsidRDefault="00135EBF" w:rsidP="009F0057">
            <w:pPr>
              <w:ind w:left="720"/>
            </w:pPr>
            <w:r>
              <w:lastRenderedPageBreak/>
              <w:t xml:space="preserve">Celá tvůrčí etuda není nijak časově náročná. </w:t>
            </w:r>
            <w:r w:rsidR="009F0057">
              <w:t xml:space="preserve">Poskládané tvary na podložkách můžeme vyfotografovat jednotlivě i více najednou.  K povídáni o nich a o tom, co nám připomínají je vhodné se vrátit následující hodinu. Není třeba nic uspěchat. Je vhodné se na „bytosti“, které jsme vytvořili podívat s odstupem (předpokládá se, že projekci zajistí vyučující). Tak se mohou stát naší inspirací k další výtvarné nebo filmové tvorbě, ale mohou se stát také inspirací k tvorbě krátkého příběhu – můžeme </w:t>
            </w:r>
            <w:r w:rsidR="002F5FCC">
              <w:t>jej</w:t>
            </w:r>
            <w:r w:rsidR="009F0057">
              <w:t xml:space="preserve"> vyprávět nebo i napsat.  </w:t>
            </w:r>
          </w:p>
          <w:p w14:paraId="513C03CB" w14:textId="77777777" w:rsidR="003B7CD0" w:rsidRDefault="003B7CD0" w:rsidP="009F0057">
            <w:pPr>
              <w:ind w:left="720"/>
            </w:pPr>
          </w:p>
          <w:p w14:paraId="7A4BEB73" w14:textId="534E0E48" w:rsidR="00DC4679" w:rsidRDefault="00DC4679" w:rsidP="009F0057">
            <w:pPr>
              <w:ind w:left="720"/>
            </w:pPr>
            <w:r>
              <w:t xml:space="preserve">Poznámka:   </w:t>
            </w:r>
          </w:p>
          <w:p w14:paraId="72569272" w14:textId="63B03772" w:rsidR="003B7CD0" w:rsidRDefault="00DC4679" w:rsidP="009F0057">
            <w:pPr>
              <w:ind w:left="720"/>
            </w:pPr>
            <w:r>
              <w:t>Obdobné zadání najdete v publikaci Metodické komentáře a úlohy ke standardům Výtvarné výchovy</w:t>
            </w:r>
            <w:r w:rsidR="003B7CD0">
              <w:t xml:space="preserve"> </w:t>
            </w:r>
            <w:r>
              <w:t xml:space="preserve">na straně 22 a 23. Přestože se jedná o materiál z roku 2016, je možné se jím i nadále inspirovat. </w:t>
            </w:r>
          </w:p>
          <w:p w14:paraId="71F5E226" w14:textId="31032D6D" w:rsidR="003B7CD0" w:rsidRDefault="007161F4" w:rsidP="009F0057">
            <w:pPr>
              <w:ind w:left="720"/>
              <w:rPr>
                <w:rStyle w:val="Hypertextovodkaz"/>
              </w:rPr>
            </w:pPr>
            <w:hyperlink r:id="rId8" w:history="1">
              <w:r w:rsidR="00DC4679" w:rsidRPr="00F153E4">
                <w:rPr>
                  <w:rStyle w:val="Hypertextovodkaz"/>
                </w:rPr>
                <w:t>https://archiv-nuv.npi.cz/uploads/Publikace/Metodicke_komentare/METODICKEI_KOMENTARE_A_ULOHY_KE_STANDARDUM_ZV_VYTVARNA_VYCHOVA_.pdf</w:t>
              </w:r>
            </w:hyperlink>
          </w:p>
          <w:p w14:paraId="61F28DE8" w14:textId="313AD8EB" w:rsidR="004D28D2" w:rsidRDefault="004D28D2" w:rsidP="009F0057">
            <w:pPr>
              <w:ind w:left="720"/>
            </w:pPr>
          </w:p>
          <w:p w14:paraId="569654F8" w14:textId="1F9D202C" w:rsidR="002F5FCC" w:rsidRPr="00FB000D" w:rsidRDefault="004D28D2" w:rsidP="009F0057">
            <w:pPr>
              <w:ind w:left="720"/>
              <w:rPr>
                <w:b/>
              </w:rPr>
            </w:pPr>
            <w:r w:rsidRPr="00FB000D">
              <w:rPr>
                <w:b/>
              </w:rPr>
              <w:t>Popis ověřování/přístup k</w:t>
            </w:r>
            <w:r w:rsidR="002F5FCC" w:rsidRPr="00FB000D">
              <w:rPr>
                <w:b/>
              </w:rPr>
              <w:t> </w:t>
            </w:r>
            <w:r w:rsidRPr="00FB000D">
              <w:rPr>
                <w:b/>
              </w:rPr>
              <w:t>hodnocení</w:t>
            </w:r>
            <w:r w:rsidR="002F5FCC" w:rsidRPr="00FB000D">
              <w:rPr>
                <w:b/>
              </w:rPr>
              <w:t>/ co ocenit:</w:t>
            </w:r>
          </w:p>
          <w:p w14:paraId="4426FF8B" w14:textId="425EF7E5" w:rsidR="00DC4679" w:rsidRDefault="002F5FCC" w:rsidP="002F5FCC">
            <w:pPr>
              <w:ind w:left="720"/>
            </w:pPr>
            <w:r>
              <w:t>Oceňme u žáků například pečlivost stříhání i celkovou organizaci pracovní plochy a práci samotnou – ví, co kam poklád</w:t>
            </w:r>
            <w:r w:rsidR="00FB000D">
              <w:t xml:space="preserve">ají, </w:t>
            </w:r>
            <w:r>
              <w:t>bezpečně zachází s</w:t>
            </w:r>
            <w:r w:rsidR="00FB000D">
              <w:t> </w:t>
            </w:r>
            <w:r>
              <w:t>nůžkami</w:t>
            </w:r>
            <w:r w:rsidR="00FB000D">
              <w:t xml:space="preserve">; protože aktivita rozvíjí i jemnou motoriku, tak je třeba ocenit i „šikovnost“ při stříhání, manipulaci s tvary, ale i výběr a vytvoření barevného podkladu – ten jediný je možný připravit tak, že jeho jednotlivé části si žáci slepí. Vhodné je tady ocenit že žák pozná, kdy už je se svým výsledkem spokojen a požádá učitele třeba o pomoc s vyfotografováním. </w:t>
            </w:r>
            <w:r>
              <w:t xml:space="preserve"> Ocenit je třeba i </w:t>
            </w:r>
            <w:r w:rsidR="00FB000D">
              <w:t>nápaditost při hledání názvu pro to, co žák vytvořil. Při této aktivitě není důležitý výsledek – když se někomu nepodaří poskládat nic, s čím by mohl být spokojen, ale to, že si věci vyzkoušel a dovedl třeba ocenit práci spolužáka</w:t>
            </w:r>
            <w:r>
              <w:t xml:space="preserve">.  </w:t>
            </w:r>
          </w:p>
          <w:p w14:paraId="7E9CFA90" w14:textId="4EA5A7E6" w:rsidR="00FB000D" w:rsidRDefault="00FB000D" w:rsidP="002F5FCC">
            <w:pPr>
              <w:ind w:left="720"/>
            </w:pPr>
          </w:p>
        </w:tc>
      </w:tr>
    </w:tbl>
    <w:p w14:paraId="47BF7636" w14:textId="1D856E0B" w:rsidR="009C26BD" w:rsidRDefault="009C26BD"/>
    <w:sectPr w:rsidR="009C26BD" w:rsidSect="007E1E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ter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385E"/>
    <w:multiLevelType w:val="hybridMultilevel"/>
    <w:tmpl w:val="9BD8535A"/>
    <w:lvl w:ilvl="0" w:tplc="D5EE9A1C">
      <w:numFmt w:val="bullet"/>
      <w:lvlText w:val="-"/>
      <w:lvlJc w:val="left"/>
      <w:pPr>
        <w:ind w:left="410" w:hanging="360"/>
      </w:pPr>
      <w:rPr>
        <w:rFonts w:ascii="Inter" w:eastAsia="Times New Roman" w:hAnsi="Inter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C6D3E50"/>
    <w:multiLevelType w:val="multilevel"/>
    <w:tmpl w:val="6F82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8E5AD7"/>
    <w:multiLevelType w:val="multilevel"/>
    <w:tmpl w:val="51DA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0732C9"/>
    <w:multiLevelType w:val="multilevel"/>
    <w:tmpl w:val="211E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93DC3"/>
    <w:rsid w:val="00135EBF"/>
    <w:rsid w:val="00142959"/>
    <w:rsid w:val="001B357C"/>
    <w:rsid w:val="0026445B"/>
    <w:rsid w:val="002F5FCC"/>
    <w:rsid w:val="003B7CD0"/>
    <w:rsid w:val="00423EE7"/>
    <w:rsid w:val="004D28D2"/>
    <w:rsid w:val="006B46C1"/>
    <w:rsid w:val="007161F4"/>
    <w:rsid w:val="00721C3D"/>
    <w:rsid w:val="007E1EE1"/>
    <w:rsid w:val="007E5CB8"/>
    <w:rsid w:val="0087524B"/>
    <w:rsid w:val="00945538"/>
    <w:rsid w:val="009C26BD"/>
    <w:rsid w:val="009F0057"/>
    <w:rsid w:val="00C26AAC"/>
    <w:rsid w:val="00D4389E"/>
    <w:rsid w:val="00DC4679"/>
    <w:rsid w:val="00DE45E9"/>
    <w:rsid w:val="00E222D3"/>
    <w:rsid w:val="00EA6CD4"/>
    <w:rsid w:val="00FB000D"/>
    <w:rsid w:val="00FC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6FBC"/>
  <w15:chartTrackingRefBased/>
  <w15:docId w15:val="{2A9A8D34-6F17-426B-8B48-64D16B5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7E1E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1E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7E1E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E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7E1EE1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iln">
    <w:name w:val="Strong"/>
    <w:basedOn w:val="Standardnpsmoodstavce"/>
    <w:uiPriority w:val="22"/>
    <w:qFormat/>
    <w:rsid w:val="00721C3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21C3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B46C1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B46C1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467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87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-nuv.npi.cz/uploads/Publikace/Metodicke_komentare/METODICKEI_KOMENTARE_A_ULOHY_KE_STANDARDUM_ZV_VYTVARNA_VYCHOVA_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Pastorová Markéta</dc:creator>
  <cp:keywords/>
  <dc:description/>
  <cp:lastModifiedBy>Pastorová Markéta</cp:lastModifiedBy>
  <cp:revision>3</cp:revision>
  <dcterms:created xsi:type="dcterms:W3CDTF">2025-01-08T16:19:00Z</dcterms:created>
  <dcterms:modified xsi:type="dcterms:W3CDTF">2025-01-08T16:31:00Z</dcterms:modified>
</cp:coreProperties>
</file>