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25F4B" w:rsidRDefault="007C7A22">
      <w:pPr>
        <w:pStyle w:val="Nadpis2"/>
        <w:rPr>
          <w:rFonts w:ascii="Calibri" w:eastAsia="Calibri" w:hAnsi="Calibri" w:cs="Calibri"/>
          <w:b w:val="0"/>
          <w:color w:val="172B4D"/>
          <w:sz w:val="32"/>
          <w:szCs w:val="32"/>
        </w:rPr>
      </w:pPr>
      <w:r>
        <w:rPr>
          <w:rFonts w:ascii="Calibri" w:eastAsia="Calibri" w:hAnsi="Calibri" w:cs="Calibri"/>
          <w:b w:val="0"/>
          <w:color w:val="172B4D"/>
          <w:sz w:val="32"/>
          <w:szCs w:val="32"/>
        </w:rPr>
        <w:t>U</w:t>
      </w:r>
      <w:r w:rsidRPr="007C7A22">
        <w:rPr>
          <w:rFonts w:ascii="Calibri" w:eastAsia="Calibri" w:hAnsi="Calibri" w:cs="Calibri"/>
          <w:b w:val="0"/>
          <w:color w:val="172B4D"/>
          <w:sz w:val="32"/>
          <w:szCs w:val="32"/>
        </w:rPr>
        <w:t>vede příklady dat, která ho obklopují a která mu mohou pomoci lépe se rozhodnout, vyslovuje o</w:t>
      </w:r>
      <w:bookmarkStart w:id="0" w:name="_GoBack"/>
      <w:bookmarkEnd w:id="0"/>
      <w:r w:rsidRPr="007C7A22">
        <w:rPr>
          <w:rFonts w:ascii="Calibri" w:eastAsia="Calibri" w:hAnsi="Calibri" w:cs="Calibri"/>
          <w:b w:val="0"/>
          <w:color w:val="172B4D"/>
          <w:sz w:val="32"/>
          <w:szCs w:val="32"/>
        </w:rPr>
        <w:t>dpovědi na základě dat</w:t>
      </w:r>
    </w:p>
    <w:p w:rsidR="00725F4B" w:rsidRDefault="007C7A22">
      <w:pPr>
        <w:pStyle w:val="Nadpis4"/>
        <w:keepNext w:val="0"/>
        <w:keepLines w:val="0"/>
        <w:pBdr>
          <w:right w:val="none" w:sz="0" w:space="11" w:color="auto"/>
        </w:pBdr>
        <w:spacing w:before="0" w:after="0"/>
        <w:rPr>
          <w:i/>
        </w:rPr>
      </w:pPr>
      <w:bookmarkStart w:id="1" w:name="_995u6u1ofu86" w:colFirst="0" w:colLast="0"/>
      <w:bookmarkEnd w:id="1"/>
      <w:r>
        <w:rPr>
          <w:i/>
        </w:rPr>
        <w:t>INF-001-ZV5-001</w:t>
      </w:r>
    </w:p>
    <w:p w:rsidR="00725F4B" w:rsidRDefault="007C7A22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Úloha:</w:t>
      </w:r>
    </w:p>
    <w:p w:rsidR="00725F4B" w:rsidRDefault="007C7A22">
      <w:pPr>
        <w:pStyle w:val="Nadpis2"/>
        <w:rPr>
          <w:rFonts w:ascii="Calibri" w:eastAsia="Calibri" w:hAnsi="Calibri" w:cs="Calibri"/>
          <w:color w:val="B45F06"/>
          <w:sz w:val="40"/>
          <w:szCs w:val="40"/>
        </w:rPr>
      </w:pPr>
      <w:bookmarkStart w:id="2" w:name="_q1ib7b1jl1ty" w:colFirst="0" w:colLast="0"/>
      <w:bookmarkEnd w:id="2"/>
      <w:r>
        <w:rPr>
          <w:rFonts w:ascii="Calibri" w:eastAsia="Calibri" w:hAnsi="Calibri" w:cs="Calibri"/>
          <w:color w:val="B45F06"/>
          <w:sz w:val="40"/>
          <w:szCs w:val="40"/>
        </w:rPr>
        <w:t>HÁDEJ POVOLÁNÍ</w:t>
      </w:r>
    </w:p>
    <w:p w:rsidR="00725F4B" w:rsidRDefault="007C7A22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Indikátory výkonu žáka na optimální úrovni</w:t>
      </w:r>
    </w:p>
    <w:p w:rsidR="00725F4B" w:rsidRDefault="007C7A22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Žák:</w:t>
      </w:r>
    </w:p>
    <w:p w:rsidR="00725F4B" w:rsidRDefault="007C7A22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rozpozná znaky, podle kterých třídí data</w:t>
      </w:r>
    </w:p>
    <w:p w:rsidR="00725F4B" w:rsidRDefault="007C7A22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orientuje se v grafu (rozhodovacím stromu)</w:t>
      </w:r>
    </w:p>
    <w:p w:rsidR="00725F4B" w:rsidRDefault="007C7A22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získá informace z grafu (rozhodovacího stromu)</w:t>
      </w:r>
    </w:p>
    <w:p w:rsidR="00725F4B" w:rsidRDefault="007C7A22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Zadání úlohy</w:t>
      </w:r>
    </w:p>
    <w:p w:rsidR="00725F4B" w:rsidRDefault="007C7A22">
      <w:pPr>
        <w:spacing w:before="240" w:after="240" w:line="288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Petr a Pavla hrají hru </w:t>
      </w:r>
      <w:r>
        <w:rPr>
          <w:b/>
          <w:sz w:val="24"/>
          <w:szCs w:val="24"/>
        </w:rPr>
        <w:t>Hádej povolání.</w:t>
      </w:r>
    </w:p>
    <w:p w:rsidR="00725F4B" w:rsidRDefault="007C7A22">
      <w:pPr>
        <w:spacing w:before="240" w:after="24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Každý hráč má 8 kartiček, na kterých jsou znázorněna různá povolání. </w:t>
      </w:r>
    </w:p>
    <w:p w:rsidR="00725F4B" w:rsidRDefault="007C7A22">
      <w:pPr>
        <w:spacing w:before="240" w:after="240" w:line="288" w:lineRule="auto"/>
        <w:rPr>
          <w:sz w:val="24"/>
          <w:szCs w:val="24"/>
        </w:rPr>
      </w:pPr>
      <w:r>
        <w:rPr>
          <w:sz w:val="24"/>
          <w:szCs w:val="24"/>
        </w:rPr>
        <w:t>Hra obsahuje následující kartičky:</w:t>
      </w:r>
    </w:p>
    <w:p w:rsidR="00725F4B" w:rsidRDefault="007C7A22">
      <w:pPr>
        <w:spacing w:before="240" w:after="240" w:line="288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3447188" cy="235522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7188" cy="23552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5F4B" w:rsidRDefault="007C7A22">
      <w:pPr>
        <w:spacing w:before="240" w:after="24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Petr si vybral jedno povolání a Pavla musí uhodnout, které. </w:t>
      </w:r>
    </w:p>
    <w:p w:rsidR="00725F4B" w:rsidRDefault="007C7A22">
      <w:pPr>
        <w:spacing w:before="240" w:after="240" w:line="288" w:lineRule="auto"/>
        <w:rPr>
          <w:sz w:val="24"/>
          <w:szCs w:val="24"/>
        </w:rPr>
      </w:pPr>
      <w:r>
        <w:rPr>
          <w:sz w:val="24"/>
          <w:szCs w:val="24"/>
        </w:rPr>
        <w:t>Může se postupně ptát otázkami, na k</w:t>
      </w:r>
      <w:r>
        <w:rPr>
          <w:sz w:val="24"/>
          <w:szCs w:val="24"/>
        </w:rPr>
        <w:t>teré může Petr odpovědět jenom Ano nebo Ne.</w:t>
      </w:r>
    </w:p>
    <w:p w:rsidR="00725F4B" w:rsidRDefault="007C7A22">
      <w:pPr>
        <w:spacing w:before="240" w:after="24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K nalezení vybraného povolání si Pavla vytvořila diagram. </w:t>
      </w:r>
    </w:p>
    <w:p w:rsidR="00725F4B" w:rsidRDefault="007C7A22">
      <w:pPr>
        <w:spacing w:before="240" w:after="240" w:line="288" w:lineRule="auto"/>
        <w:rPr>
          <w:sz w:val="24"/>
          <w:szCs w:val="24"/>
        </w:rPr>
      </w:pPr>
      <w:r>
        <w:rPr>
          <w:sz w:val="24"/>
          <w:szCs w:val="24"/>
        </w:rPr>
        <w:t>Doplň do něj povolání na správná místa.</w:t>
      </w:r>
    </w:p>
    <w:p w:rsidR="00725F4B" w:rsidRDefault="007C7A22">
      <w:pPr>
        <w:spacing w:before="240" w:after="240" w:line="288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114300" distB="114300" distL="114300" distR="114300">
            <wp:extent cx="5893059" cy="3588112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3059" cy="35881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5F4B" w:rsidRDefault="007C7A22">
      <w:pPr>
        <w:pStyle w:val="Nadpis1"/>
        <w:spacing w:before="240" w:after="80" w:line="240" w:lineRule="auto"/>
        <w:rPr>
          <w:b w:val="0"/>
          <w:color w:val="0000FF"/>
          <w:sz w:val="20"/>
          <w:szCs w:val="20"/>
        </w:rPr>
      </w:pPr>
      <w:bookmarkStart w:id="3" w:name="_gh42hb1kd2su" w:colFirst="0" w:colLast="0"/>
      <w:bookmarkEnd w:id="3"/>
      <w:r>
        <w:rPr>
          <w:color w:val="434343"/>
          <w:sz w:val="28"/>
          <w:szCs w:val="28"/>
        </w:rPr>
        <w:t>Odkaz:</w:t>
      </w:r>
      <w:r>
        <w:rPr>
          <w:color w:val="434343"/>
          <w:sz w:val="34"/>
          <w:szCs w:val="34"/>
        </w:rPr>
        <w:t xml:space="preserve"> </w:t>
      </w:r>
      <w:hyperlink r:id="rId7">
        <w:r>
          <w:rPr>
            <w:b w:val="0"/>
            <w:color w:val="0000FF"/>
            <w:sz w:val="26"/>
            <w:szCs w:val="26"/>
            <w:u w:val="single"/>
          </w:rPr>
          <w:t>ttps://www.ibobr.cz/test/otazka/spustitelna/1380/bbf981ae720fac270224</w:t>
        </w:r>
      </w:hyperlink>
    </w:p>
    <w:p w:rsidR="00725F4B" w:rsidRDefault="007C7A22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Ukázka řešení</w:t>
      </w:r>
    </w:p>
    <w:p w:rsidR="00725F4B" w:rsidRDefault="007C7A2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Pavla mohla k povolání, které Petr vybral, dojít pomocí svého diagramu po položení tří otázek.</w:t>
      </w:r>
    </w:p>
    <w:p w:rsidR="00725F4B" w:rsidRDefault="007C7A2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Například povolání, ve kterém se nosí bílá, laboratorní plášť a stetoskop, je doktor. </w:t>
      </w:r>
    </w:p>
    <w:p w:rsidR="00725F4B" w:rsidRDefault="007C7A2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Ten, kdo nosí bílý plášť, ale nenosí stetoskop, je vědec. </w:t>
      </w:r>
    </w:p>
    <w:p w:rsidR="00725F4B" w:rsidRDefault="007C7A2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Zbývající povolání, u nichž se nosí bílá, jsou malíř a astronaut. </w:t>
      </w:r>
    </w:p>
    <w:p w:rsidR="00725F4B" w:rsidRDefault="007C7A2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Musíme rozhodnut, kdo z nich nosí helmu.</w:t>
      </w:r>
    </w:p>
    <w:p w:rsidR="00725F4B" w:rsidRDefault="007C7A2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Ta</w:t>
      </w:r>
      <w:r>
        <w:rPr>
          <w:sz w:val="24"/>
          <w:szCs w:val="24"/>
        </w:rPr>
        <w:t>kto lze dojít ke všem povoláním v diagramu.</w:t>
      </w:r>
    </w:p>
    <w:p w:rsidR="00725F4B" w:rsidRDefault="007C7A22">
      <w:r>
        <w:rPr>
          <w:noProof/>
        </w:rPr>
        <w:drawing>
          <wp:inline distT="114300" distB="114300" distL="114300" distR="114300">
            <wp:extent cx="6120000" cy="24257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42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5F4B" w:rsidRDefault="007C7A22">
      <w:pPr>
        <w:spacing w:after="0" w:line="360" w:lineRule="auto"/>
        <w:ind w:left="720"/>
        <w:rPr>
          <w:b/>
          <w:color w:val="9900FF"/>
          <w:sz w:val="20"/>
          <w:szCs w:val="20"/>
        </w:rPr>
      </w:pPr>
      <w:r>
        <w:rPr>
          <w:b/>
          <w:color w:val="9900FF"/>
          <w:sz w:val="24"/>
          <w:szCs w:val="24"/>
        </w:rPr>
        <w:t xml:space="preserve">řešení: </w:t>
      </w:r>
      <w:hyperlink r:id="rId9">
        <w:r>
          <w:rPr>
            <w:b/>
            <w:color w:val="1155CC"/>
            <w:sz w:val="20"/>
            <w:szCs w:val="20"/>
            <w:u w:val="single"/>
          </w:rPr>
          <w:t>https://www.ibobr.cz/test/otazka/reseni/1380/6f19ef01a600ece7360d</w:t>
        </w:r>
      </w:hyperlink>
    </w:p>
    <w:p w:rsidR="00725F4B" w:rsidRDefault="00725F4B"/>
    <w:p w:rsidR="00725F4B" w:rsidRDefault="007C7A22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4" w:name="_wdszlra5n38u" w:colFirst="0" w:colLast="0"/>
      <w:bookmarkEnd w:id="4"/>
      <w:r>
        <w:rPr>
          <w:color w:val="434343"/>
          <w:sz w:val="28"/>
          <w:szCs w:val="28"/>
        </w:rPr>
        <w:lastRenderedPageBreak/>
        <w:t>Komentář</w:t>
      </w:r>
    </w:p>
    <w:p w:rsidR="00725F4B" w:rsidRDefault="007C7A22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5" w:name="_6mq0ll8b1x6n" w:colFirst="0" w:colLast="0"/>
      <w:bookmarkEnd w:id="5"/>
      <w:r>
        <w:rPr>
          <w:color w:val="434343"/>
          <w:sz w:val="28"/>
          <w:szCs w:val="28"/>
        </w:rPr>
        <w:t>Zdroje:</w:t>
      </w:r>
    </w:p>
    <w:p w:rsidR="00725F4B" w:rsidRDefault="007C7A22">
      <w:pPr>
        <w:spacing w:before="60" w:after="0" w:line="288" w:lineRule="auto"/>
        <w:rPr>
          <w:sz w:val="24"/>
          <w:szCs w:val="24"/>
        </w:rPr>
      </w:pPr>
      <w:hyperlink r:id="rId10">
        <w:r>
          <w:rPr>
            <w:color w:val="1155CC"/>
            <w:sz w:val="24"/>
            <w:szCs w:val="24"/>
            <w:u w:val="single"/>
          </w:rPr>
          <w:t>BOBŘÍK INFORMATIKY</w:t>
        </w:r>
      </w:hyperlink>
      <w:r>
        <w:rPr>
          <w:sz w:val="24"/>
          <w:szCs w:val="24"/>
        </w:rPr>
        <w:t xml:space="preserve"> - Informatická soutěž pro žáky základních a středních škol</w:t>
      </w:r>
    </w:p>
    <w:p w:rsidR="00725F4B" w:rsidRDefault="007C7A22">
      <w:pPr>
        <w:spacing w:before="60" w:after="0" w:line="288" w:lineRule="auto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 xml:space="preserve">Licence </w:t>
      </w:r>
      <w:hyperlink r:id="rId11">
        <w:proofErr w:type="spellStart"/>
        <w:r>
          <w:rPr>
            <w:color w:val="1155CC"/>
            <w:sz w:val="24"/>
            <w:szCs w:val="24"/>
            <w:u w:val="single"/>
          </w:rPr>
          <w:t>Creative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1155CC"/>
            <w:sz w:val="24"/>
            <w:szCs w:val="24"/>
            <w:u w:val="single"/>
          </w:rPr>
          <w:t>commons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CC-BY-SA</w:t>
        </w:r>
      </w:hyperlink>
    </w:p>
    <w:p w:rsidR="00725F4B" w:rsidRDefault="007C7A22">
      <w:pPr>
        <w:spacing w:before="60" w:after="0" w:line="288" w:lineRule="auto"/>
        <w:rPr>
          <w:sz w:val="24"/>
          <w:szCs w:val="24"/>
        </w:rPr>
      </w:pPr>
      <w:hyperlink r:id="rId12">
        <w:r>
          <w:rPr>
            <w:color w:val="1155CC"/>
            <w:sz w:val="24"/>
            <w:szCs w:val="24"/>
            <w:u w:val="single"/>
          </w:rPr>
          <w:t>Pedagogická fakulta</w:t>
        </w:r>
      </w:hyperlink>
      <w:r>
        <w:rPr>
          <w:sz w:val="24"/>
          <w:szCs w:val="24"/>
        </w:rPr>
        <w:t xml:space="preserve"> Jihočeské univerzity v Českých Budějovicích</w:t>
      </w:r>
    </w:p>
    <w:p w:rsidR="00725F4B" w:rsidRDefault="00725F4B">
      <w:pPr>
        <w:rPr>
          <w:color w:val="0000FF"/>
          <w:sz w:val="20"/>
          <w:szCs w:val="20"/>
        </w:rPr>
      </w:pPr>
    </w:p>
    <w:sectPr w:rsidR="00725F4B">
      <w:pgSz w:w="11906" w:h="16838"/>
      <w:pgMar w:top="566" w:right="1133" w:bottom="566" w:left="1133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57D86"/>
    <w:multiLevelType w:val="multilevel"/>
    <w:tmpl w:val="83D4F2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F4B"/>
    <w:rsid w:val="00725F4B"/>
    <w:rsid w:val="007C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D8A4"/>
  <w15:docId w15:val="{578A9073-1739-4D9E-B8F9-6716569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bobr.cz/test/otazka/spustitelna/1380/bbf981ae720fac270224" TargetMode="External"/><Relationship Id="rId12" Type="http://schemas.openxmlformats.org/officeDocument/2006/relationships/hyperlink" Target="https://pf.jcu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creativecommons.org/licenses/by-sa/3.0/cz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bobr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bobr.cz/test/otazka/reseni/1380/6f19ef01a600ece7360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Růžičková Daniela</cp:lastModifiedBy>
  <cp:revision>2</cp:revision>
  <dcterms:created xsi:type="dcterms:W3CDTF">2024-02-28T15:29:00Z</dcterms:created>
  <dcterms:modified xsi:type="dcterms:W3CDTF">2024-02-28T15:30:00Z</dcterms:modified>
</cp:coreProperties>
</file>